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6179">
      <w:pPr>
        <w:spacing w:line="580" w:lineRule="exact"/>
        <w:jc w:val="both"/>
        <w:rPr>
          <w:rFonts w:ascii="仿宋_GB2312" w:eastAsia="仿宋_GB2312"/>
          <w:sz w:val="48"/>
        </w:rPr>
      </w:pPr>
    </w:p>
    <w:p w14:paraId="4401409C">
      <w:pPr>
        <w:spacing w:line="580" w:lineRule="exact"/>
        <w:jc w:val="center"/>
        <w:rPr>
          <w:rFonts w:ascii="仿宋" w:hAnsi="仿宋" w:eastAsia="仿宋"/>
          <w:sz w:val="32"/>
          <w:szCs w:val="32"/>
        </w:rPr>
      </w:pPr>
      <w:bookmarkStart w:id="1" w:name="_GoBack"/>
      <w:r>
        <w:rPr>
          <w:rFonts w:hint="eastAsia" w:ascii="方正小标宋简体" w:hAnsi="仿宋" w:eastAsia="方正小标宋简体"/>
          <w:sz w:val="44"/>
          <w:szCs w:val="44"/>
        </w:rPr>
        <w:t>市委教育工委  市教育局</w:t>
      </w:r>
    </w:p>
    <w:p w14:paraId="581409F9">
      <w:pPr>
        <w:spacing w:line="5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关于印发</w:t>
      </w:r>
      <w:r>
        <w:rPr>
          <w:rFonts w:hint="eastAsia" w:eastAsia="方正小标宋简体"/>
          <w:sz w:val="44"/>
          <w:szCs w:val="44"/>
        </w:rPr>
        <w:t>2020</w:t>
      </w:r>
      <w:r>
        <w:rPr>
          <w:rFonts w:hint="eastAsia" w:ascii="方正小标宋简体" w:hAnsi="仿宋" w:eastAsia="方正小标宋简体"/>
          <w:sz w:val="44"/>
          <w:szCs w:val="44"/>
        </w:rPr>
        <w:t>年全市教育工作要点的通知</w:t>
      </w:r>
      <w:bookmarkEnd w:id="1"/>
    </w:p>
    <w:p w14:paraId="445D4E0E">
      <w:pPr>
        <w:spacing w:line="580" w:lineRule="exact"/>
        <w:jc w:val="center"/>
        <w:rPr>
          <w:rFonts w:ascii="仿宋" w:hAnsi="仿宋" w:eastAsia="仿宋"/>
          <w:sz w:val="32"/>
          <w:szCs w:val="32"/>
        </w:rPr>
      </w:pPr>
    </w:p>
    <w:p w14:paraId="10338B9A">
      <w:pPr>
        <w:spacing w:line="580" w:lineRule="exact"/>
        <w:rPr>
          <w:rFonts w:ascii="仿宋_GB2312" w:hAnsi="Calibri" w:eastAsia="仿宋_GB2312"/>
          <w:sz w:val="32"/>
          <w:szCs w:val="32"/>
        </w:rPr>
      </w:pPr>
      <w:r>
        <w:rPr>
          <w:rFonts w:hint="eastAsia" w:ascii="仿宋_GB2312" w:hAnsi="Calibri" w:eastAsia="仿宋_GB2312"/>
          <w:sz w:val="32"/>
          <w:szCs w:val="32"/>
        </w:rPr>
        <w:t>各市（县）区委教育工委、教育局，无锡经济开发区社会事业局，各直属院校、事业单位，市属各民办学校，各大中专院校：</w:t>
      </w:r>
    </w:p>
    <w:p w14:paraId="7E13EF44">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现将《</w:t>
      </w:r>
      <w:r>
        <w:rPr>
          <w:rFonts w:hint="eastAsia" w:eastAsia="仿宋_GB2312"/>
          <w:sz w:val="32"/>
          <w:szCs w:val="32"/>
        </w:rPr>
        <w:t>2020</w:t>
      </w:r>
      <w:r>
        <w:rPr>
          <w:rFonts w:hint="eastAsia" w:ascii="仿宋_GB2312" w:hAnsi="Calibri" w:eastAsia="仿宋_GB2312"/>
          <w:sz w:val="32"/>
          <w:szCs w:val="32"/>
        </w:rPr>
        <w:t>年全市教育工作要点》印发给你们，请结合实际，认真抓好贯彻</w:t>
      </w:r>
      <w:r>
        <w:rPr>
          <w:rFonts w:ascii="仿宋_GB2312" w:hAnsi="Calibri" w:eastAsia="仿宋_GB2312"/>
          <w:sz w:val="32"/>
          <w:szCs w:val="32"/>
        </w:rPr>
        <w:t>落实</w:t>
      </w:r>
      <w:r>
        <w:rPr>
          <w:rFonts w:hint="eastAsia" w:ascii="仿宋_GB2312" w:hAnsi="Calibri" w:eastAsia="仿宋_GB2312"/>
          <w:sz w:val="32"/>
          <w:szCs w:val="32"/>
        </w:rPr>
        <w:t>。</w:t>
      </w:r>
    </w:p>
    <w:p w14:paraId="6789B4A9">
      <w:pPr>
        <w:spacing w:line="580" w:lineRule="exact"/>
        <w:ind w:firstLine="640" w:firstLineChars="200"/>
        <w:rPr>
          <w:rFonts w:ascii="仿宋_GB2312" w:hAnsi="Calibri" w:eastAsia="仿宋_GB2312"/>
          <w:sz w:val="32"/>
          <w:szCs w:val="32"/>
        </w:rPr>
      </w:pPr>
    </w:p>
    <w:p w14:paraId="2FAB6282">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2020</w:t>
      </w:r>
      <w:r>
        <w:rPr>
          <w:rFonts w:hint="eastAsia" w:ascii="仿宋_GB2312" w:hAnsi="Calibri" w:eastAsia="仿宋_GB2312"/>
          <w:sz w:val="32"/>
          <w:szCs w:val="32"/>
        </w:rPr>
        <w:t>年全市教育工作要点</w:t>
      </w:r>
    </w:p>
    <w:p w14:paraId="43BF93C6">
      <w:pPr>
        <w:spacing w:line="580" w:lineRule="exact"/>
        <w:ind w:firstLine="640" w:firstLineChars="200"/>
        <w:rPr>
          <w:rFonts w:ascii="仿宋_GB2312" w:hAnsi="Calibri" w:eastAsia="仿宋_GB2312"/>
          <w:sz w:val="32"/>
          <w:szCs w:val="32"/>
        </w:rPr>
      </w:pPr>
    </w:p>
    <w:p w14:paraId="7BE5C65F">
      <w:pPr>
        <w:spacing w:line="580" w:lineRule="exact"/>
        <w:ind w:right="160" w:firstLine="640" w:firstLineChars="200"/>
        <w:jc w:val="right"/>
        <w:rPr>
          <w:rFonts w:ascii="仿宋_GB2312" w:hAnsi="Calibri" w:eastAsia="仿宋_GB2312"/>
          <w:sz w:val="32"/>
          <w:szCs w:val="32"/>
        </w:rPr>
      </w:pPr>
    </w:p>
    <w:p w14:paraId="64EB2CCD">
      <w:pPr>
        <w:spacing w:line="580" w:lineRule="exact"/>
        <w:ind w:right="160" w:firstLine="640" w:firstLineChars="200"/>
        <w:jc w:val="right"/>
        <w:rPr>
          <w:rFonts w:ascii="仿宋_GB2312" w:hAnsi="Calibri" w:eastAsia="仿宋_GB2312"/>
          <w:sz w:val="32"/>
          <w:szCs w:val="32"/>
        </w:rPr>
      </w:pPr>
      <w:r>
        <w:rPr>
          <w:rFonts w:hint="eastAsia" w:ascii="仿宋_GB2312" w:hAnsi="Calibri" w:eastAsia="仿宋_GB2312"/>
          <w:sz w:val="32"/>
          <w:szCs w:val="32"/>
        </w:rPr>
        <w:t>中共无锡市委</w:t>
      </w:r>
      <w:r>
        <w:rPr>
          <w:rFonts w:ascii="仿宋_GB2312" w:hAnsi="Calibri" w:eastAsia="仿宋_GB2312"/>
          <w:sz w:val="32"/>
          <w:szCs w:val="32"/>
        </w:rPr>
        <w:t>教育工作委员会</w:t>
      </w:r>
    </w:p>
    <w:p w14:paraId="205B3F48">
      <w:pPr>
        <w:spacing w:line="580" w:lineRule="exact"/>
        <w:ind w:right="160" w:firstLine="1536" w:firstLineChars="200"/>
        <w:jc w:val="right"/>
        <w:rPr>
          <w:rFonts w:ascii="仿宋_GB2312" w:hAnsi="Calibri" w:eastAsia="仿宋_GB2312"/>
          <w:sz w:val="32"/>
          <w:szCs w:val="32"/>
        </w:rPr>
      </w:pPr>
      <w:r>
        <w:rPr>
          <w:rFonts w:hint="eastAsia" w:ascii="仿宋_GB2312" w:hAnsi="Calibri" w:eastAsia="仿宋_GB2312"/>
          <w:spacing w:val="224"/>
          <w:kern w:val="0"/>
          <w:sz w:val="32"/>
          <w:szCs w:val="32"/>
          <w:fitText w:val="4160" w:id="-2075504639"/>
        </w:rPr>
        <w:t>无锡市</w:t>
      </w:r>
      <w:r>
        <w:rPr>
          <w:rFonts w:ascii="仿宋_GB2312" w:hAnsi="Calibri" w:eastAsia="仿宋_GB2312"/>
          <w:spacing w:val="224"/>
          <w:kern w:val="0"/>
          <w:sz w:val="32"/>
          <w:szCs w:val="32"/>
          <w:fitText w:val="4160" w:id="-2075504639"/>
        </w:rPr>
        <w:t>教育</w:t>
      </w:r>
      <w:r>
        <w:rPr>
          <w:rFonts w:ascii="仿宋_GB2312" w:hAnsi="Calibri" w:eastAsia="仿宋_GB2312"/>
          <w:spacing w:val="0"/>
          <w:kern w:val="0"/>
          <w:sz w:val="32"/>
          <w:szCs w:val="32"/>
          <w:fitText w:val="4160" w:id="-2075504639"/>
        </w:rPr>
        <w:t>局</w:t>
      </w:r>
    </w:p>
    <w:p w14:paraId="395301D3">
      <w:pPr>
        <w:spacing w:line="580" w:lineRule="exact"/>
        <w:ind w:right="640" w:firstLine="5440" w:firstLineChars="1700"/>
        <w:rPr>
          <w:rFonts w:ascii="仿宋_GB2312" w:hAnsi="Calibri" w:eastAsia="仿宋_GB2312"/>
          <w:sz w:val="32"/>
          <w:szCs w:val="32"/>
        </w:rPr>
      </w:pPr>
      <w:r>
        <w:rPr>
          <w:rFonts w:hint="eastAsia" w:eastAsia="仿宋_GB2312"/>
          <w:sz w:val="32"/>
          <w:szCs w:val="32"/>
        </w:rPr>
        <w:t>2020</w:t>
      </w:r>
      <w:r>
        <w:rPr>
          <w:rFonts w:hint="eastAsia" w:ascii="仿宋_GB2312" w:hAnsi="Calibri" w:eastAsia="仿宋_GB2312"/>
          <w:sz w:val="32"/>
          <w:szCs w:val="32"/>
        </w:rPr>
        <w:t>年</w:t>
      </w:r>
      <w:r>
        <w:rPr>
          <w:rFonts w:hint="eastAsia" w:eastAsia="仿宋_GB2312"/>
          <w:sz w:val="32"/>
          <w:szCs w:val="32"/>
        </w:rPr>
        <w:t>4</w:t>
      </w:r>
      <w:r>
        <w:rPr>
          <w:rFonts w:hint="eastAsia" w:ascii="仿宋_GB2312" w:hAnsi="Calibri" w:eastAsia="仿宋_GB2312"/>
          <w:sz w:val="32"/>
          <w:szCs w:val="32"/>
        </w:rPr>
        <w:t>月</w:t>
      </w:r>
      <w:r>
        <w:rPr>
          <w:rFonts w:eastAsia="仿宋_GB2312"/>
          <w:sz w:val="32"/>
          <w:szCs w:val="32"/>
        </w:rPr>
        <w:t>8</w:t>
      </w:r>
      <w:r>
        <w:rPr>
          <w:rFonts w:hint="eastAsia" w:ascii="仿宋_GB2312" w:hAnsi="Calibri" w:eastAsia="仿宋_GB2312"/>
          <w:sz w:val="32"/>
          <w:szCs w:val="32"/>
        </w:rPr>
        <w:t>日</w:t>
      </w:r>
    </w:p>
    <w:p w14:paraId="7F1E05BA">
      <w:pPr>
        <w:spacing w:line="580" w:lineRule="exact"/>
        <w:rPr>
          <w:rFonts w:ascii="仿宋_GB2312" w:hAnsi="黑体" w:eastAsia="仿宋_GB2312"/>
          <w:sz w:val="32"/>
          <w:szCs w:val="32"/>
        </w:rPr>
      </w:pPr>
      <w:r>
        <w:rPr>
          <w:rFonts w:hint="eastAsia" w:ascii="仿宋_GB2312" w:hAnsi="黑体" w:eastAsia="仿宋_GB2312"/>
          <w:sz w:val="32"/>
          <w:szCs w:val="32"/>
        </w:rPr>
        <w:t>附件</w:t>
      </w:r>
    </w:p>
    <w:p w14:paraId="5406816E">
      <w:pPr>
        <w:spacing w:line="580" w:lineRule="exact"/>
        <w:rPr>
          <w:rFonts w:ascii="黑体" w:hAnsi="黑体" w:eastAsia="黑体"/>
          <w:sz w:val="32"/>
          <w:szCs w:val="32"/>
        </w:rPr>
      </w:pPr>
    </w:p>
    <w:p w14:paraId="784C423E">
      <w:pPr>
        <w:spacing w:line="580" w:lineRule="exact"/>
        <w:jc w:val="center"/>
        <w:rPr>
          <w:rFonts w:eastAsia="楷体"/>
          <w:sz w:val="32"/>
          <w:szCs w:val="32"/>
        </w:rPr>
      </w:pPr>
      <w:r>
        <w:rPr>
          <w:rFonts w:hint="eastAsia" w:eastAsia="方正小标宋简体"/>
          <w:sz w:val="44"/>
          <w:szCs w:val="44"/>
        </w:rPr>
        <w:t>2020</w:t>
      </w:r>
      <w:r>
        <w:rPr>
          <w:rFonts w:eastAsia="方正小标宋简体"/>
          <w:sz w:val="44"/>
          <w:szCs w:val="44"/>
        </w:rPr>
        <w:t>年度</w:t>
      </w:r>
      <w:r>
        <w:rPr>
          <w:rFonts w:hint="eastAsia" w:eastAsia="方正小标宋简体"/>
          <w:sz w:val="44"/>
          <w:szCs w:val="44"/>
        </w:rPr>
        <w:t>全市</w:t>
      </w:r>
      <w:r>
        <w:rPr>
          <w:rFonts w:eastAsia="方正小标宋简体"/>
          <w:sz w:val="44"/>
          <w:szCs w:val="44"/>
        </w:rPr>
        <w:t>教育工作</w:t>
      </w:r>
      <w:r>
        <w:rPr>
          <w:rFonts w:hint="eastAsia" w:eastAsia="方正小标宋简体"/>
          <w:sz w:val="44"/>
          <w:szCs w:val="44"/>
        </w:rPr>
        <w:t>要点</w:t>
      </w:r>
    </w:p>
    <w:p w14:paraId="21EAD9F2">
      <w:pPr>
        <w:spacing w:line="580" w:lineRule="exact"/>
        <w:ind w:firstLine="640" w:firstLineChars="200"/>
        <w:rPr>
          <w:rFonts w:eastAsia="仿宋_GB2312"/>
          <w:sz w:val="32"/>
          <w:szCs w:val="32"/>
        </w:rPr>
      </w:pPr>
    </w:p>
    <w:p w14:paraId="793E19C7">
      <w:pPr>
        <w:spacing w:line="580" w:lineRule="exact"/>
        <w:ind w:firstLine="640" w:firstLineChars="200"/>
        <w:rPr>
          <w:rFonts w:eastAsia="仿宋_GB2312"/>
          <w:sz w:val="32"/>
          <w:szCs w:val="32"/>
        </w:rPr>
      </w:pPr>
      <w:r>
        <w:rPr>
          <w:rFonts w:hint="eastAsia" w:eastAsia="仿宋_GB2312"/>
          <w:sz w:val="32"/>
          <w:szCs w:val="32"/>
        </w:rPr>
        <w:t>2020年，是“十三五”收官之年，也是我市高水平全面建成小康社会的决胜之年。全市教育系统将坚持以习近平新时代中国特色社会主义思想为指导，深入贯彻党的十九大和十九届二中、三中、四中全会精神，全面落实全国、省市教育大会部署要求，坚定人民立场，坚持问题导向，聚焦重点难点，补齐发展短板，激发改革动能，优化教育结构，加快推进教育现代化建设，全面提升教育治理体系和治理能力现代化水平，全面提高各类教育办学质量，努力办好人民满意教育，为高水平全面建成小康社会、加快建设“强富美高”新无锡、当好全省高质量发展领跑者提供有力的智力支持和人才保证。</w:t>
      </w:r>
    </w:p>
    <w:p w14:paraId="7143FE9B">
      <w:pPr>
        <w:spacing w:line="58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、加强</w:t>
      </w:r>
      <w:r>
        <w:rPr>
          <w:rFonts w:ascii="黑体" w:hAnsi="黑体" w:eastAsia="黑体"/>
          <w:sz w:val="32"/>
          <w:szCs w:val="32"/>
        </w:rPr>
        <w:t>党对教育工作的全面领导</w:t>
      </w:r>
    </w:p>
    <w:p w14:paraId="554C46D9">
      <w:pPr>
        <w:spacing w:line="580" w:lineRule="exact"/>
        <w:ind w:firstLine="640" w:firstLineChars="200"/>
        <w:rPr>
          <w:rFonts w:eastAsia="仿宋_GB2312"/>
          <w:sz w:val="32"/>
          <w:szCs w:val="32"/>
        </w:rPr>
      </w:pPr>
      <w:r>
        <w:rPr>
          <w:rFonts w:hint="eastAsia" w:eastAsia="方正楷体_GBK"/>
          <w:sz w:val="32"/>
          <w:szCs w:val="32"/>
        </w:rPr>
        <w:t>1．坚持以政治</w:t>
      </w:r>
      <w:r>
        <w:rPr>
          <w:rFonts w:eastAsia="方正楷体_GBK"/>
          <w:sz w:val="32"/>
          <w:szCs w:val="32"/>
        </w:rPr>
        <w:t>建设</w:t>
      </w:r>
      <w:r>
        <w:rPr>
          <w:rFonts w:hint="eastAsia" w:eastAsia="方正楷体_GBK"/>
          <w:sz w:val="32"/>
          <w:szCs w:val="32"/>
        </w:rPr>
        <w:t>为</w:t>
      </w:r>
      <w:r>
        <w:rPr>
          <w:rFonts w:eastAsia="方正楷体_GBK"/>
          <w:sz w:val="32"/>
          <w:szCs w:val="32"/>
        </w:rPr>
        <w:t>统领</w:t>
      </w:r>
      <w:r>
        <w:rPr>
          <w:rFonts w:hint="eastAsia" w:eastAsia="方正楷体_GBK"/>
          <w:sz w:val="32"/>
          <w:szCs w:val="32"/>
        </w:rPr>
        <w:t>。</w:t>
      </w:r>
      <w:r>
        <w:rPr>
          <w:rFonts w:hint="eastAsia" w:ascii="方正仿宋_GBK" w:eastAsia="仿宋_GB2312"/>
          <w:sz w:val="32"/>
          <w:szCs w:val="32"/>
        </w:rPr>
        <w:t>贯彻落实“为党育人、为国育才”要求，深入学习习近平关于教育的重要论述，及时跟进学习习近平总书记重要讲话和指示批示精神，推动全市教育系统各级领导干部和广大党员教师增强“四个意识”、坚定“四个自信”、做到“两个维护”。建立健全教育系统党的领导体制，强化市委教育工作领导小组有效运行，将党管办学方向、管改革发展、管干部人才贯穿教育工作各方面各环节。坚决贯彻落实中央和省市委决策部署，持续加大教育资源供给，扎实做好教育系统新冠肺炎疫情防控工作，巩固拓展专项治理成果。严肃党内政治生活，坚决贯彻民主集中制，落实“三重一大”事项集体研究决策机制，提高民主生活会、组织生活会质量，认真落实领导干部参加双重组织生活会和带头上党课制度，营造风清气正的政治生态。建立不忘初心、牢记使命长效机制，强化“永恒课题”“终身课题”意识，引导各级党组织和全体党员、干部自觉同党的基本理论、基本路线、基本方略对标对表，自觉规范政治言行，提高辨别政治是非、保持政治定力、防范政治风险的能力。</w:t>
      </w:r>
    </w:p>
    <w:p w14:paraId="2D45814E">
      <w:pPr>
        <w:spacing w:line="580" w:lineRule="exact"/>
        <w:ind w:firstLine="640" w:firstLineChars="200"/>
        <w:rPr>
          <w:rFonts w:ascii="黑体" w:hAnsi="黑体" w:eastAsia="黑体"/>
          <w:sz w:val="32"/>
          <w:szCs w:val="32"/>
          <w:highlight w:val="yellow"/>
        </w:rPr>
      </w:pPr>
      <w:r>
        <w:rPr>
          <w:rFonts w:hint="eastAsia" w:eastAsia="方正楷体_GBK"/>
          <w:sz w:val="32"/>
          <w:szCs w:val="32"/>
        </w:rPr>
        <w:t>2．推动理论武装走深走实。</w:t>
      </w:r>
      <w:r>
        <w:rPr>
          <w:rFonts w:hint="eastAsia" w:eastAsia="仿宋_GB2312"/>
          <w:sz w:val="32"/>
          <w:szCs w:val="32"/>
        </w:rPr>
        <w:t>以创建中心组示范点为抓手，抓好中心组理论学习，以年度党建考核为抓手，推进强化党员、教职工政治理论学习，以教育系统理论学习宣讲团为抓手，为基层开展政治理论学习提供服务。围绕“十三五”收官、全面建成小康社会、决战决胜脱贫攻坚等主题词，围绕全市教育重点工作，依托无锡教育宣传融媒体平台，全方位做好新闻宣传工作，常态化报道无锡教育改革发展动态。继续重点开展“好学生  好教师  好学校”全媒体宣传活动，讲深讲透无锡教育好故事。建立教育媒体联席会议制度，定期研究重点宣传选题，策划宣传方案，形成宣传合力。健全意识形态领域情况分析和工作报告制度，加强分析研判和引导管理；加强学校思想政治工作，严格教材选用、教师教学和校园活动管理，守好教育教学主阵地；加强网络安全管理，做好舆情监测预警和风险排查工作；完善在锡高校意识形态工作联席会议制度，指导和督促高校严格落实意识形态工作责任，推动高校进一步加强思想政治工作，加强思政课教师和辅导员队伍建设，实施思政课创新行动。确保无意识形态领域重大问题，无重大负面舆情和网络安全事故。</w:t>
      </w:r>
    </w:p>
    <w:p w14:paraId="4AA5EC89">
      <w:pPr>
        <w:spacing w:line="580" w:lineRule="exact"/>
        <w:ind w:firstLine="640" w:firstLineChars="200"/>
        <w:rPr>
          <w:rFonts w:ascii="黑体" w:hAnsi="黑体" w:eastAsia="黑体"/>
          <w:sz w:val="32"/>
          <w:szCs w:val="32"/>
        </w:rPr>
      </w:pPr>
      <w:r>
        <w:rPr>
          <w:rFonts w:hint="eastAsia" w:eastAsia="方正楷体_GBK"/>
          <w:sz w:val="32"/>
          <w:szCs w:val="32"/>
        </w:rPr>
        <w:t>3．坚决贯彻党的组织路线。</w:t>
      </w:r>
      <w:r>
        <w:rPr>
          <w:rFonts w:hint="eastAsia" w:eastAsia="仿宋_GB2312"/>
          <w:sz w:val="32"/>
          <w:szCs w:val="32"/>
        </w:rPr>
        <w:t>深化拓展教育系统党支部标准化规范化建设工程，坚持抓两头带中间，全面落实三年“强起来”目标。推广普及无锡市“智慧党建”基层党建服务系统，提升党建信息化水平。持续推进教育党建品牌建设，突出“教书育人先锋工程”“基层党建书记项目”“一校一品党建文化”品牌抓手作用，认真抓好各级各类项目申报、观摩、展评、验收和推广工作。坚持党管干部人才原则，进一步释放“三项机制”激励效应，选优配强直属单位领导班子，提升班子整体功能。加大年轻干部和党外干部培养选拔力度，举办中青年干部培训班，组织新一轮校级后备干部推荐工作。深入推进“太湖人才”计划、“333工程”人才培养，着力聚集爱国奋斗奉献优秀教育人才。加强干部教育培训，坚持校长书记学习日制度，举办教育管理干部暑期专题研修班，推进党务干部分层分类培训全覆盖。做好教育系统统战工作，坚持民主座谈会制度，注重加强民主党派年轻代表人士和党外知识分子培养，支持民主党派开展各项活动。坚持党建带群建，推动各级党组织领导工会、共青团（少先队）、妇工委、关工委等群团组织建设。积极做好离退休干部工作，支持老干部调研无锡教育改革发展，为办好人民满意的教育建言献策。</w:t>
      </w:r>
    </w:p>
    <w:p w14:paraId="4761FDE3">
      <w:pPr>
        <w:spacing w:line="580" w:lineRule="exact"/>
        <w:ind w:firstLine="640" w:firstLineChars="200"/>
        <w:rPr>
          <w:rFonts w:ascii="黑体" w:hAnsi="黑体" w:eastAsia="黑体"/>
          <w:sz w:val="32"/>
          <w:szCs w:val="32"/>
          <w:highlight w:val="yellow"/>
        </w:rPr>
      </w:pPr>
      <w:r>
        <w:rPr>
          <w:rFonts w:hint="eastAsia" w:eastAsia="方正楷体_GBK"/>
          <w:sz w:val="32"/>
          <w:szCs w:val="32"/>
        </w:rPr>
        <w:t>4．纵深推进党风廉政建设。</w:t>
      </w:r>
      <w:r>
        <w:rPr>
          <w:rFonts w:hint="eastAsia" w:eastAsia="仿宋_GB2312"/>
          <w:sz w:val="32"/>
          <w:szCs w:val="32"/>
        </w:rPr>
        <w:t>认真贯彻</w:t>
      </w:r>
      <w:r>
        <w:rPr>
          <w:rFonts w:eastAsia="仿宋_GB2312"/>
          <w:sz w:val="32"/>
          <w:szCs w:val="32"/>
        </w:rPr>
        <w:t>落实十九届中央纪委四次全会精神，</w:t>
      </w:r>
      <w:r>
        <w:rPr>
          <w:rFonts w:hint="eastAsia" w:eastAsia="仿宋_GB2312"/>
          <w:sz w:val="32"/>
          <w:szCs w:val="32"/>
        </w:rPr>
        <w:t>扎实</w:t>
      </w:r>
      <w:r>
        <w:rPr>
          <w:rFonts w:eastAsia="仿宋_GB2312"/>
          <w:sz w:val="32"/>
          <w:szCs w:val="32"/>
        </w:rPr>
        <w:t>做好</w:t>
      </w:r>
      <w:r>
        <w:rPr>
          <w:rFonts w:hint="eastAsia" w:eastAsia="仿宋_GB2312"/>
          <w:sz w:val="32"/>
          <w:szCs w:val="32"/>
        </w:rPr>
        <w:t>省委</w:t>
      </w:r>
      <w:r>
        <w:rPr>
          <w:rFonts w:eastAsia="仿宋_GB2312"/>
          <w:sz w:val="32"/>
          <w:szCs w:val="32"/>
        </w:rPr>
        <w:t>巡视无锡市委反馈意见整改落实工作，</w:t>
      </w:r>
      <w:r>
        <w:rPr>
          <w:rFonts w:hint="eastAsia" w:eastAsia="仿宋_GB2312"/>
          <w:sz w:val="32"/>
          <w:szCs w:val="32"/>
        </w:rPr>
        <w:t>建立健全全市教育系统党风廉政责任体系，进一步完善权责清晰、流程规范、风险明确、措施有力、预警及时的机关廉政风险防控机制，探索建立“重要领域、关键岗位廉洁从业负面清单”制度，加强对重大政策落实情况专项审计，强化专项资金、基建维修资金审计，推动内部审计全覆盖，探索建立“纪监审”联动机制。加强学校纪检委员队伍建设，提高基层党组织履行党内监督的能力水平。分层分类开展警示教育，廉政教育提质增效。坚持以人民为中心的发展理念，扎实开展教育领域损害群众利益问题集中治理，组织开展全市公办普通高中和民办学校食堂专项检查。健全食堂管理长效机制，研究制定学校食堂管理相关制度。</w:t>
      </w:r>
    </w:p>
    <w:p w14:paraId="17C75F1B">
      <w:pPr>
        <w:spacing w:line="58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推进教育</w:t>
      </w:r>
      <w:r>
        <w:rPr>
          <w:rFonts w:hint="eastAsia" w:ascii="黑体" w:hAnsi="黑体" w:eastAsia="黑体"/>
          <w:sz w:val="32"/>
          <w:szCs w:val="32"/>
        </w:rPr>
        <w:t>事业</w:t>
      </w:r>
      <w:r>
        <w:rPr>
          <w:rFonts w:ascii="黑体" w:hAnsi="黑体" w:eastAsia="黑体"/>
          <w:sz w:val="32"/>
          <w:szCs w:val="32"/>
        </w:rPr>
        <w:t>优质</w:t>
      </w:r>
      <w:r>
        <w:rPr>
          <w:rFonts w:hint="eastAsia" w:ascii="黑体" w:hAnsi="黑体" w:eastAsia="黑体"/>
          <w:sz w:val="32"/>
          <w:szCs w:val="32"/>
        </w:rPr>
        <w:t>快速</w:t>
      </w:r>
      <w:r>
        <w:rPr>
          <w:rFonts w:ascii="黑体" w:hAnsi="黑体" w:eastAsia="黑体"/>
          <w:sz w:val="32"/>
          <w:szCs w:val="32"/>
        </w:rPr>
        <w:t>发展</w:t>
      </w:r>
    </w:p>
    <w:p w14:paraId="69FDFEBE">
      <w:pPr>
        <w:spacing w:line="580" w:lineRule="exact"/>
        <w:ind w:firstLine="640" w:firstLineChars="200"/>
        <w:rPr>
          <w:rFonts w:ascii="黑体" w:hAnsi="黑体" w:eastAsia="黑体"/>
          <w:sz w:val="32"/>
          <w:szCs w:val="32"/>
          <w:highlight w:val="yellow"/>
        </w:rPr>
      </w:pPr>
      <w:r>
        <w:rPr>
          <w:rFonts w:hint="eastAsia" w:eastAsia="方正楷体_GBK"/>
          <w:sz w:val="32"/>
          <w:szCs w:val="32"/>
        </w:rPr>
        <w:t>5．推进基础教育优质均衡发展。</w:t>
      </w:r>
      <w:r>
        <w:rPr>
          <w:rFonts w:hint="eastAsia" w:ascii="方正仿宋_GBK" w:eastAsia="仿宋_GB2312"/>
          <w:sz w:val="32"/>
          <w:szCs w:val="32"/>
        </w:rPr>
        <w:t>加大教育资源建设力度，全力推进城镇小区配套幼儿园治理工作，有效提高学前教育资源配置率和普惠性幼儿园覆盖率。进一步完善幼儿园服务区制度，满足适龄儿童的入园需求。积极扶持非营利性民办园，着力推动省市优质园创建，提升学前教育整体水平。加强城乡教育一体统筹，加快义务教育学校标准化建设，通过集团化办学、结对帮扶等方式，努力缩小城乡差距、校际差距，办好群众家门口的好学校。推进义务教育优质均衡发展，积极创建国家、省义务教育优质均衡发展县（市、区）。提升义务教育办学质量，申报评选一批省、市小学特色文化建设项目和初中质量提升项目，深化第二批“新优质学校”培育建设。推进普通高中优质特色发展，加强首批省、市高品质示范高中建设，积极申报首批高品质特色高中。深入开展锡台融合教育交流，创建融合教育示范校。持续推进融合教育资源中心建设，每个镇（街道）至少设置学前、小学和初中融合教育资源中心各一个，方便残疾儿童少年就近入学。每个市（县）区设置一个职业教育融合资源中心。</w:t>
      </w:r>
    </w:p>
    <w:p w14:paraId="01BFA2F0">
      <w:pPr>
        <w:spacing w:line="580" w:lineRule="exact"/>
        <w:ind w:firstLine="640" w:firstLineChars="200"/>
        <w:rPr>
          <w:rFonts w:ascii="黑体" w:hAnsi="黑体" w:eastAsia="黑体"/>
          <w:sz w:val="32"/>
          <w:szCs w:val="32"/>
          <w:highlight w:val="yellow"/>
        </w:rPr>
      </w:pPr>
      <w:r>
        <w:rPr>
          <w:rFonts w:hint="eastAsia" w:eastAsia="仿宋_GB2312"/>
          <w:sz w:val="32"/>
          <w:szCs w:val="32"/>
        </w:rPr>
        <w:t>6．</w:t>
      </w:r>
      <w:r>
        <w:rPr>
          <w:rFonts w:eastAsia="方正楷体_GBK"/>
          <w:sz w:val="32"/>
          <w:szCs w:val="32"/>
        </w:rPr>
        <w:t>促进职业教育产教融合发展。</w:t>
      </w:r>
      <w:r>
        <w:rPr>
          <w:rFonts w:hint="eastAsia" w:eastAsia="仿宋_GB2312"/>
          <w:kern w:val="0"/>
          <w:sz w:val="32"/>
          <w:szCs w:val="32"/>
        </w:rPr>
        <w:t>建立全市职业教育工作联席会议制度，实施职业教育“攀登计划”，深入推进产教融合、校企合作，争创国家产教融合试点城市。持续提升职业学校办学水平，办好一批省现代化示范性职业学校和优质特色职业学校，建成5所省职业教育“领航学校”。对接我市重点发展产业，优化职业学校专业设置，撤并设置雷同、招生就业连续不达标的专业，培育50个现代化专业群和100门精品课程。创新人才培养模式，深入推进现代学徒制和企业新型学徒制，组织实施“1+X”证书制度试点，创建国家和省级示范性职业教育集团。完善产教对话、校企合作机制，组建职业学校人才资源库，发布《职业院校专业结构与产业结构吻合度报告》，开展“传承工商精神，推进创新创业”活动，评选无锡市职业院校产业发展贡献奖。实施中等职业学校学生学业水平考试，建立职业学校全员全过程全方位“三全育人”体系，办好职业教育活动周以及职业院校技能大赛、教学大赛、创新创业大赛、“文明风采”活动，形成职业教育发展合力。优化无锡职教园管理体制，推动无锡职教园实现新一轮发展。完成东西部职业教育协作招生计划和职业学校对口支援任务。</w:t>
      </w:r>
    </w:p>
    <w:p w14:paraId="0902CF30">
      <w:pPr>
        <w:spacing w:line="580" w:lineRule="exact"/>
        <w:ind w:firstLine="640" w:firstLineChars="200"/>
        <w:rPr>
          <w:rFonts w:ascii="黑体" w:hAnsi="黑体" w:eastAsia="黑体"/>
          <w:sz w:val="32"/>
          <w:szCs w:val="32"/>
          <w:highlight w:val="yellow"/>
        </w:rPr>
      </w:pPr>
      <w:r>
        <w:rPr>
          <w:rFonts w:hint="eastAsia" w:eastAsia="方正楷体_GBK"/>
          <w:sz w:val="32"/>
          <w:szCs w:val="32"/>
        </w:rPr>
        <w:t>7．</w:t>
      </w:r>
      <w:r>
        <w:rPr>
          <w:rFonts w:eastAsia="方正楷体_GBK"/>
          <w:sz w:val="32"/>
          <w:szCs w:val="32"/>
        </w:rPr>
        <w:t>推动高等教育量质同步提升。</w:t>
      </w:r>
      <w:r>
        <w:rPr>
          <w:rFonts w:hint="eastAsia" w:eastAsia="仿宋_GB2312"/>
          <w:sz w:val="32"/>
          <w:szCs w:val="32"/>
        </w:rPr>
        <w:t>坚持引进与提升并举、规模与质量并重，构建适应我市高质量发展要求的高等教育体系。实体化运行“无锡高等教育发展服务中心”。加快建设东南大学无锡国际校区、南京理工大学江阴校区、江南大学江阴校区和宜兴研究生院。完成东南大学无锡国际校区一期、二期工程，筹建东南大学—鲁汶大学联合学院，国际校区办学规模达到1500人。支持江南大学建设世界一流学科、国家一流本科专业和特色鲜明的高水平研究型大学。支持无锡太湖学院建立硕士点，举办无锡太湖学院苏格兰学院，建设高水平应用型大学。推动南京信息工程大学滨江学院转设为公办本科高校，启动实施滨江学院三期工程。支持无锡城市职业技术学院更名无锡师范高等专科学校。支持无锡职业技术学院、无锡商业职业技术学院等高职院校，对接区域经济社会发展需求，形成独特办学优势。推进建设独立法人和非独立法人的中外合作办学机构。推动高校内涵式发展，支持在锡高校建设一流大学、一流学科、一流专业和高水平创新载体，培育一批高等教育创新发展重点项目。</w:t>
      </w:r>
    </w:p>
    <w:p w14:paraId="271E76E3">
      <w:pPr>
        <w:spacing w:line="580" w:lineRule="exact"/>
        <w:ind w:firstLine="640" w:firstLineChars="200"/>
        <w:rPr>
          <w:rFonts w:ascii="黑体" w:hAnsi="黑体" w:eastAsia="黑体"/>
          <w:sz w:val="32"/>
          <w:szCs w:val="32"/>
          <w:highlight w:val="yellow"/>
        </w:rPr>
      </w:pPr>
      <w:r>
        <w:rPr>
          <w:rFonts w:hint="eastAsia" w:eastAsia="方正楷体_GBK"/>
          <w:sz w:val="32"/>
          <w:szCs w:val="32"/>
        </w:rPr>
        <w:t>8</w:t>
      </w:r>
      <w:r>
        <w:rPr>
          <w:rFonts w:hint="eastAsia" w:ascii="方正楷体_GBK" w:eastAsia="方正楷体_GBK"/>
          <w:sz w:val="32"/>
          <w:szCs w:val="32"/>
        </w:rPr>
        <w:t>．加快社会教育融合健康发展。</w:t>
      </w:r>
      <w:r>
        <w:rPr>
          <w:rFonts w:hint="eastAsia" w:eastAsia="仿宋_GB2312"/>
          <w:sz w:val="32"/>
          <w:szCs w:val="32"/>
        </w:rPr>
        <w:t>推进社区教育与社区治理融合发展，以市（县）区、乡镇（街道）和农村社区教育为重点，充分利用科技、宣传、文化、卫生、体育等资源，加强部门协作，开展老年人口、农民技能、家政服务、妇女、残疾人等重点人群的教育培训。继续举办好市级社区教育专职管理人员培训班。提升社区教育阵地建设水平，继续推进无锡市现代化示范性居民学校建设，并通过有效方式充分发挥其示范引领作用。积极参与国家级农村职业教育和成人教育示范县、省级社区教育特色品牌、省级教育服务“三农”高水平基地建设。拓展终身教育资源和渠道，充分发挥市社指中心指导作用，进一步完善“无锡学习在线”数字化服务平台，拓展平台资源，继续整合开发一批优质数字化社区教育课程特别是老年教育学习资源库课程。举办无锡市全民终身学习活动周，积极培育宣传推广典型经验做法，大力营造终身学习的良好氛围。进一步落实《无锡市规范校外培训机构发展实施意见》，发挥好市（县）区校外培训机构专项治理联席会议作用，强化部门协同，压实主体责任，推动校外培训机构纳入综合执法体系，重点开展机构办学安全、财务管理、招生宣传、教学内容、师资队伍等规范治理，做好校外线上培训机构备案审查。举办校外培训机构管理平台管理员培训班。启动实施民办学校分类管理，建立“双随机、一公开”机制，组织开展“双随机、一公开”抽查。积极探索对校外培训机构开展资金监管、信用监管。支持各地建立培训机构行业协会，引导行业自治自律。</w:t>
      </w:r>
    </w:p>
    <w:p w14:paraId="192C0841">
      <w:pPr>
        <w:spacing w:line="580" w:lineRule="exact"/>
        <w:ind w:firstLine="640" w:firstLineChars="200"/>
        <w:rPr>
          <w:rFonts w:ascii="黑体" w:hAnsi="黑体" w:eastAsia="黑体"/>
          <w:sz w:val="32"/>
          <w:szCs w:val="32"/>
        </w:rPr>
      </w:pPr>
      <w:r>
        <w:rPr>
          <w:rFonts w:hint="eastAsia" w:ascii="黑体" w:hAnsi="黑体" w:eastAsia="黑体"/>
          <w:sz w:val="32"/>
          <w:szCs w:val="32"/>
        </w:rPr>
        <w:t>三、提高</w:t>
      </w:r>
      <w:r>
        <w:rPr>
          <w:rFonts w:ascii="黑体" w:hAnsi="黑体" w:eastAsia="黑体"/>
          <w:sz w:val="32"/>
          <w:szCs w:val="32"/>
        </w:rPr>
        <w:t>素质教育质量</w:t>
      </w:r>
      <w:r>
        <w:rPr>
          <w:rFonts w:hint="eastAsia" w:ascii="黑体" w:hAnsi="黑体" w:eastAsia="黑体"/>
          <w:sz w:val="32"/>
          <w:szCs w:val="32"/>
        </w:rPr>
        <w:t>和效果</w:t>
      </w:r>
    </w:p>
    <w:p w14:paraId="74B16AEC">
      <w:pPr>
        <w:spacing w:line="580" w:lineRule="exact"/>
        <w:ind w:firstLine="640" w:firstLineChars="200"/>
        <w:rPr>
          <w:rFonts w:ascii="黑体" w:hAnsi="黑体" w:eastAsia="黑体"/>
          <w:sz w:val="32"/>
          <w:szCs w:val="32"/>
          <w:highlight w:val="yellow"/>
        </w:rPr>
      </w:pPr>
      <w:r>
        <w:rPr>
          <w:rFonts w:hint="eastAsia" w:eastAsia="方正楷体_GBK"/>
          <w:sz w:val="32"/>
          <w:szCs w:val="32"/>
        </w:rPr>
        <w:t>9</w:t>
      </w:r>
      <w:r>
        <w:rPr>
          <w:rFonts w:hint="eastAsia" w:ascii="方正楷体_GBK" w:eastAsia="方正楷体_GBK"/>
          <w:sz w:val="32"/>
          <w:szCs w:val="32"/>
        </w:rPr>
        <w:t>．落实立德树人根本任务。</w:t>
      </w:r>
      <w:r>
        <w:rPr>
          <w:rFonts w:hint="eastAsia" w:eastAsia="仿宋_GB2312"/>
          <w:sz w:val="32"/>
          <w:szCs w:val="32"/>
        </w:rPr>
        <w:t>认真落实习近平新时代中国特色社会主义思想进教材、进课堂、进头脑，学习贯彻《新时代爱国主义教育实施纲要》，准确把握新时代爱国主义精神的丰富内涵，扎实开展爱国主义教育，在青少年心中厚植爱国主义情怀。完善中小学德育工作体系，加大中小学德育研究与指导力度，加强与有关高校马克思主义学院协作，整合教育科学研究院和教师发展学院教研培训专业力量，探索实施无锡大中小学德育工作一体化研究和探索。深入开展“扣好人生第一粒扣子”等主题教育，加强理想信念、社会主义核心价值观、中华优秀传统文化、生涯规划等教育。深化中小学生品格提升工程，建设省市级项目20个以上。全力做好全国文明城市创建验收工作。深入推进全市教育系统关心下一代优质化工作创新发展，争取年内获省合格认定。全面完成各级各类学校语言文字达标建设。开展中小学生国家通用语口语监测，遴选部分地区开展口语教学试点。组织普通话测试员和志愿者深入基层开展推普志愿者行动。组织全市中华经典诵读大赛、中小学及培训机构教师“诗词讲解大赛”。开展县域普通话普及情况调查。全面完成县域普通话基本普及验收工作。全面推行计算机辅助普通话水平测试在线报名工作。</w:t>
      </w:r>
    </w:p>
    <w:p w14:paraId="2F089718">
      <w:pPr>
        <w:spacing w:line="580" w:lineRule="exact"/>
        <w:ind w:firstLine="640" w:firstLineChars="200"/>
        <w:rPr>
          <w:rFonts w:ascii="黑体" w:hAnsi="黑体" w:eastAsia="黑体"/>
          <w:sz w:val="32"/>
          <w:szCs w:val="32"/>
          <w:highlight w:val="yellow"/>
        </w:rPr>
      </w:pPr>
      <w:r>
        <w:rPr>
          <w:rFonts w:hint="eastAsia" w:eastAsia="方正楷体_GBK"/>
          <w:sz w:val="32"/>
          <w:szCs w:val="32"/>
        </w:rPr>
        <w:t>10</w:t>
      </w:r>
      <w:r>
        <w:rPr>
          <w:rFonts w:hint="eastAsia" w:ascii="方正楷体_GBK" w:eastAsia="方正楷体_GBK"/>
          <w:sz w:val="32"/>
          <w:szCs w:val="32"/>
        </w:rPr>
        <w:t>．促进师生身心健康发展。</w:t>
      </w:r>
      <w:r>
        <w:rPr>
          <w:rFonts w:hint="eastAsia" w:eastAsia="仿宋_GB2312"/>
          <w:sz w:val="32"/>
          <w:szCs w:val="32"/>
        </w:rPr>
        <w:t>积极应对新冠肺炎疫情，强化组织领导，切实担负责任，制定工作方案和应急预案，加强科学统筹指导，落实防控工作举措，坚决打赢疫情防控阻击战，切实保障广大师生身体健康和生命安全。发挥学生体质健康报告书制度实效，加快学生体质健康信息管理系统建设运用。聚焦青少年近视防控工作，制订儿童青少年近视综合防控工作实施方案，从普查建档、环境改善、宣传教育、专业保障等方面多角度全方位施策，切实降低青少年学生近视率。提升中小学心理健康教育针对性、实效性，切实发挥无锡学生心理健康教育发展中心的“指导、培训、资源和研究”职能，完善工作机制，制定《关于加强无锡市中小学心理健康教育的指导意见》，开展全市中小学教师心理健康教育培训，实施心理健康教育特色学校创建，加强学生生涯规划指导。密切家校合作，建立健全校外教育辅导站“校站结合”长效机制，加强校外辅导员家庭教育指导服务能力，通过家长学校等途径，利用网络平台，开展覆盖城乡中小学形式多样的家庭教育指导服务。</w:t>
      </w:r>
    </w:p>
    <w:p w14:paraId="7A6662E8">
      <w:pPr>
        <w:spacing w:line="580" w:lineRule="exact"/>
        <w:ind w:firstLine="640" w:firstLineChars="200"/>
        <w:rPr>
          <w:rFonts w:ascii="黑体" w:hAnsi="黑体" w:eastAsia="黑体"/>
          <w:sz w:val="32"/>
          <w:szCs w:val="32"/>
          <w:highlight w:val="yellow"/>
        </w:rPr>
      </w:pPr>
      <w:r>
        <w:rPr>
          <w:rFonts w:hint="eastAsia" w:eastAsia="方正楷体_GBK"/>
          <w:sz w:val="32"/>
          <w:szCs w:val="32"/>
        </w:rPr>
        <w:t>11</w:t>
      </w:r>
      <w:r>
        <w:rPr>
          <w:rFonts w:hint="eastAsia" w:ascii="方正楷体_GBK" w:eastAsia="方正楷体_GBK"/>
          <w:sz w:val="32"/>
          <w:szCs w:val="32"/>
        </w:rPr>
        <w:t>．加强体育美育劳动教育。</w:t>
      </w:r>
      <w:r>
        <w:rPr>
          <w:rFonts w:hint="eastAsia" w:eastAsia="仿宋_GB2312"/>
          <w:sz w:val="32"/>
          <w:szCs w:val="32"/>
        </w:rPr>
        <w:t>实施学校体育固本行动和特色提升工程，逐步优化体育中考项目标准及形式方法，深化校园足球发展机制，丰富阳光体育运动形式内容，培养学生体育兴趣和运动习惯。实施首届初中学生艺术素质测评，深化少儿艺术团建设，举办“百灵鸟”艺术展演40周年庆祝活动。规范落实高中学生军训工作，加强中小学国防教育。认真贯彻落实《中共中央国务院关于全面加强新时代大中小学劳动教育的意见》，从</w:t>
      </w:r>
      <w:r>
        <w:rPr>
          <w:rFonts w:eastAsia="仿宋_GB2312"/>
          <w:sz w:val="32"/>
          <w:szCs w:val="32"/>
        </w:rPr>
        <w:t>落实劳动课程、推动校内劳动、</w:t>
      </w:r>
      <w:r>
        <w:rPr>
          <w:rFonts w:hint="eastAsia" w:eastAsia="仿宋_GB2312"/>
          <w:sz w:val="32"/>
          <w:szCs w:val="32"/>
        </w:rPr>
        <w:t>保障</w:t>
      </w:r>
      <w:r>
        <w:rPr>
          <w:rFonts w:eastAsia="仿宋_GB2312"/>
          <w:sz w:val="32"/>
          <w:szCs w:val="32"/>
        </w:rPr>
        <w:t>校外劳动、支持家务劳动</w:t>
      </w:r>
      <w:r>
        <w:rPr>
          <w:rFonts w:hint="eastAsia" w:eastAsia="仿宋_GB2312"/>
          <w:sz w:val="32"/>
          <w:szCs w:val="32"/>
        </w:rPr>
        <w:t>“四个关键”环节推动</w:t>
      </w:r>
      <w:r>
        <w:rPr>
          <w:rFonts w:eastAsia="仿宋_GB2312"/>
          <w:sz w:val="32"/>
          <w:szCs w:val="32"/>
        </w:rPr>
        <w:t>劳动教育，</w:t>
      </w:r>
      <w:r>
        <w:rPr>
          <w:rFonts w:hint="eastAsia" w:eastAsia="仿宋_GB2312"/>
          <w:sz w:val="32"/>
          <w:szCs w:val="32"/>
        </w:rPr>
        <w:t>推进落实省劳动和社会实践“百千万”工程，推动培育建设一批包含劳动教育在内的校外综合实践精品示范项目，进一步加强“田间课堂”建设，更好地培养学生的社会责任感、创新精神和实践能力。认真做好垃圾分类工作。</w:t>
      </w:r>
    </w:p>
    <w:p w14:paraId="7DC33A70">
      <w:pPr>
        <w:spacing w:line="580" w:lineRule="exact"/>
        <w:ind w:firstLine="640" w:firstLineChars="200"/>
        <w:rPr>
          <w:rFonts w:ascii="黑体" w:hAnsi="黑体" w:eastAsia="黑体"/>
          <w:sz w:val="32"/>
          <w:szCs w:val="32"/>
        </w:rPr>
      </w:pPr>
      <w:r>
        <w:rPr>
          <w:rFonts w:hint="eastAsia" w:ascii="黑体" w:hAnsi="黑体" w:eastAsia="黑体"/>
          <w:sz w:val="32"/>
          <w:szCs w:val="32"/>
        </w:rPr>
        <w:t>四、深化教育领域综合改革</w:t>
      </w:r>
    </w:p>
    <w:p w14:paraId="299CCB68">
      <w:pPr>
        <w:spacing w:line="580" w:lineRule="exact"/>
        <w:ind w:firstLine="640" w:firstLineChars="200"/>
        <w:rPr>
          <w:rFonts w:ascii="黑体" w:hAnsi="黑体" w:eastAsia="黑体"/>
          <w:sz w:val="32"/>
          <w:szCs w:val="32"/>
          <w:highlight w:val="yellow"/>
        </w:rPr>
      </w:pPr>
      <w:r>
        <w:rPr>
          <w:rFonts w:hint="eastAsia" w:eastAsia="方正楷体_GBK"/>
          <w:sz w:val="32"/>
          <w:szCs w:val="32"/>
        </w:rPr>
        <w:t>12</w:t>
      </w:r>
      <w:r>
        <w:rPr>
          <w:rFonts w:hint="eastAsia" w:ascii="方正楷体_GBK" w:eastAsia="方正楷体_GBK"/>
          <w:sz w:val="32"/>
          <w:szCs w:val="32"/>
        </w:rPr>
        <w:t>．</w:t>
      </w:r>
      <w:r>
        <w:rPr>
          <w:rFonts w:hint="eastAsia" w:eastAsia="方正楷体_GBK"/>
          <w:sz w:val="32"/>
          <w:szCs w:val="32"/>
        </w:rPr>
        <w:t>推动落实教育优先发展。</w:t>
      </w:r>
      <w:r>
        <w:rPr>
          <w:rFonts w:hint="eastAsia" w:eastAsia="仿宋_GB2312"/>
          <w:sz w:val="32"/>
          <w:szCs w:val="32"/>
        </w:rPr>
        <w:t>切实加强党对教育工作的全面领导，充分发挥市委教育工作领导小组办公室作用，通过提请领导小组召开专题会议等形式，整体谋划、统筹协调、落实推进全市教育重大改革事项，组织实施年度突破项目。加快推进教育现代化建设，制定出台《无锡教育现代化2035》《无锡市加快推进教育现代化实施方案》。根据新修订的教育现代化监测指标，做好年度教育现代化监测工作。全面总结全市教育事业</w:t>
      </w:r>
      <w:r>
        <w:rPr>
          <w:rFonts w:hint="eastAsia" w:eastAsia="仿宋_GB2312"/>
          <w:sz w:val="32"/>
          <w:szCs w:val="32"/>
          <w:lang w:eastAsia="zh-CN"/>
        </w:rPr>
        <w:t>“</w:t>
      </w:r>
      <w:r>
        <w:rPr>
          <w:rFonts w:hint="eastAsia" w:eastAsia="仿宋_GB2312"/>
          <w:sz w:val="32"/>
          <w:szCs w:val="32"/>
        </w:rPr>
        <w:t>十三五</w:t>
      </w:r>
      <w:r>
        <w:rPr>
          <w:rFonts w:hint="eastAsia" w:eastAsia="仿宋_GB2312"/>
          <w:sz w:val="32"/>
          <w:szCs w:val="32"/>
          <w:lang w:eastAsia="zh-CN"/>
        </w:rPr>
        <w:t>”</w:t>
      </w:r>
      <w:r>
        <w:rPr>
          <w:rFonts w:hint="eastAsia" w:eastAsia="仿宋_GB2312"/>
          <w:sz w:val="32"/>
          <w:szCs w:val="32"/>
        </w:rPr>
        <w:t>规划完成情况，科学分析、谋划编制全市教育事业</w:t>
      </w:r>
      <w:r>
        <w:rPr>
          <w:rFonts w:hint="eastAsia" w:eastAsia="仿宋_GB2312"/>
          <w:sz w:val="32"/>
          <w:szCs w:val="32"/>
          <w:lang w:eastAsia="zh-CN"/>
        </w:rPr>
        <w:t>“</w:t>
      </w:r>
      <w:r>
        <w:rPr>
          <w:rFonts w:hint="eastAsia" w:eastAsia="仿宋_GB2312"/>
          <w:sz w:val="32"/>
          <w:szCs w:val="32"/>
        </w:rPr>
        <w:t>十四五</w:t>
      </w:r>
      <w:r>
        <w:rPr>
          <w:rFonts w:hint="eastAsia" w:eastAsia="仿宋_GB2312"/>
          <w:sz w:val="32"/>
          <w:szCs w:val="32"/>
          <w:lang w:eastAsia="zh-CN"/>
        </w:rPr>
        <w:t>”</w:t>
      </w:r>
      <w:r>
        <w:rPr>
          <w:rFonts w:hint="eastAsia" w:eastAsia="仿宋_GB2312"/>
          <w:sz w:val="32"/>
          <w:szCs w:val="32"/>
        </w:rPr>
        <w:t>规划。认真贯彻落实中央、省市决策部署，加强教育资源预警，根据《省教育厅2021年全省基础教育资源需求预警报告》《无锡市2018-2035年市区教育布局规划》，部署推进区域教育资源建设。扎实实施无锡市优化完善基础教育资源布局三年行动计划。加快高中资源布局规划与建设，实施普通高中资源建设行动计划，推动启动全市8所普通高中项目建设，年内开工建设5所普通高中改扩建项目。</w:t>
      </w:r>
    </w:p>
    <w:p w14:paraId="5785F11F">
      <w:pPr>
        <w:spacing w:line="580" w:lineRule="exact"/>
        <w:ind w:firstLine="640" w:firstLineChars="200"/>
        <w:rPr>
          <w:rFonts w:ascii="黑体" w:hAnsi="黑体" w:eastAsia="黑体"/>
          <w:sz w:val="32"/>
          <w:szCs w:val="32"/>
          <w:highlight w:val="yellow"/>
        </w:rPr>
      </w:pPr>
      <w:r>
        <w:rPr>
          <w:rFonts w:hint="eastAsia" w:eastAsia="方正楷体_GBK"/>
          <w:sz w:val="32"/>
          <w:szCs w:val="32"/>
        </w:rPr>
        <w:t>13</w:t>
      </w:r>
      <w:r>
        <w:rPr>
          <w:rFonts w:hint="eastAsia" w:ascii="方正楷体_GBK" w:eastAsia="方正楷体_GBK"/>
          <w:sz w:val="32"/>
          <w:szCs w:val="32"/>
        </w:rPr>
        <w:t>．提升依法治教工作水平。</w:t>
      </w:r>
      <w:r>
        <w:rPr>
          <w:rFonts w:hint="eastAsia" w:eastAsia="仿宋_GB2312"/>
          <w:sz w:val="32"/>
          <w:szCs w:val="32"/>
        </w:rPr>
        <w:t>深化教育“放管服”改革，完善“互联网+教育监管”工作机制，健全“不见面”审批体系。积极推进行政执法“三项制度”建设，加强校外培训机构事中事后长效监管，全面推行部门联合“双随机、一公开”执法检查。加强规范性文件制定和管理，加强信用监管和政务诚信建设，全面完成全市教育系统七五普法目标任务，启动研究制订八五普法规划。广泛开展以宪法为核心的法治宣传教育，办好全市青少年法治宣传教育周和“学宪法讲宪法”系列活动，加快建成省依法治教改革试点区。持续开展义务教育学校违规办学专项治理，进一步规范中小学办学行为。进一步推进家校协同育人，推动社区家长学校、家庭教育指导服务站点建设。优化课后服务内容和形式，有效扩大中小学课后服务覆盖面，加强课后服务监管。加快落实课后服务经费，推动各级财政建立专项补助经费，尽早推进课后服务收费项目立项与实施工作。进一步明确各地在核定中小学校绩效工资总量时，对开展课后服务的学校，适当增核绩效工资总量。广泛听取意见建议，认真做好人大代表建议和政协委员提案办理工作。</w:t>
      </w:r>
    </w:p>
    <w:p w14:paraId="6237BBF9">
      <w:pPr>
        <w:spacing w:line="580" w:lineRule="exact"/>
        <w:ind w:firstLine="640" w:firstLineChars="200"/>
        <w:rPr>
          <w:rFonts w:ascii="黑体" w:hAnsi="黑体" w:eastAsia="黑体"/>
          <w:sz w:val="32"/>
          <w:szCs w:val="32"/>
          <w:highlight w:val="yellow"/>
        </w:rPr>
      </w:pPr>
      <w:r>
        <w:rPr>
          <w:rFonts w:hint="eastAsia" w:eastAsia="方正楷体_GBK"/>
          <w:sz w:val="32"/>
          <w:szCs w:val="32"/>
        </w:rPr>
        <w:t>14</w:t>
      </w:r>
      <w:r>
        <w:rPr>
          <w:rFonts w:hint="eastAsia" w:ascii="方正楷体_GBK" w:eastAsia="方正楷体_GBK"/>
          <w:sz w:val="32"/>
          <w:szCs w:val="32"/>
        </w:rPr>
        <w:t>．深化育人评价方式改革。</w:t>
      </w:r>
      <w:r>
        <w:rPr>
          <w:rFonts w:hint="eastAsia" w:eastAsia="仿宋_GB2312"/>
          <w:sz w:val="32"/>
          <w:szCs w:val="32"/>
        </w:rPr>
        <w:t>完善义务教育招生制度改革，推进义务教育学校免试就近入学全覆盖，严禁以各类考试、竞赛、培训成绩或证书证明等作为招生依据，不得以面试、评测等名义选拔学生。民办义务教育学校招生纳入审批地统一管理，与公办学校同步招生。对报名人数超过招生计划的，实行电脑随机派位录取。实施中小学课程与教学改革，加强中小学教材管理，全面实施普通高中新课程新教材，严格落实《江苏省普通高中课程实施方案》及各学科教学指导意见；落实好教育部高中理科和小学科学教学装备配置标准，加强科学教育和实验教学，开展中小学实验实践教学系列活动。深入推进前瞻性教学改革实验项目。扎实做好义务教育学生学业质量监测工作，强化过程性和发展性评价，进一步落实国家和省县域义务教育质量、学校办学质量和学生发展质量评价标准。完善选科评估与指导机制，引导普通高中学生理性选科，有序开展走班教学。完善普通高中学生综合素质评价，优化评价内容，细化评价实施办法，强化评价结果的运用。提升教育科研水平，增强教育科研服务能力。充分发挥教育学会（协会）组织作用，服务保障教育高质量发展。</w:t>
      </w:r>
    </w:p>
    <w:p w14:paraId="1842D3A2">
      <w:pPr>
        <w:spacing w:line="580" w:lineRule="exact"/>
        <w:ind w:firstLine="640" w:firstLineChars="200"/>
        <w:rPr>
          <w:rFonts w:ascii="黑体" w:hAnsi="黑体" w:eastAsia="黑体"/>
          <w:sz w:val="32"/>
          <w:szCs w:val="32"/>
          <w:highlight w:val="yellow"/>
        </w:rPr>
      </w:pPr>
      <w:r>
        <w:rPr>
          <w:rFonts w:hint="eastAsia" w:eastAsia="方正楷体_GBK"/>
          <w:sz w:val="32"/>
          <w:szCs w:val="32"/>
        </w:rPr>
        <w:t>15</w:t>
      </w:r>
      <w:r>
        <w:rPr>
          <w:rFonts w:hint="eastAsia" w:ascii="方正楷体_GBK" w:eastAsia="方正楷体_GBK"/>
          <w:sz w:val="32"/>
          <w:szCs w:val="32"/>
        </w:rPr>
        <w:t>．扩大</w:t>
      </w:r>
      <w:r>
        <w:rPr>
          <w:rFonts w:ascii="方正楷体_GBK" w:eastAsia="方正楷体_GBK"/>
          <w:sz w:val="32"/>
          <w:szCs w:val="32"/>
        </w:rPr>
        <w:t>教育对外开放</w:t>
      </w:r>
      <w:r>
        <w:rPr>
          <w:rFonts w:hint="eastAsia" w:eastAsia="仿宋_GB2312"/>
          <w:sz w:val="32"/>
          <w:szCs w:val="32"/>
        </w:rPr>
        <w:t>。以制度建设为基本保障，进一步加强外籍教师、国际课程班、外籍人员子女学校和学生境外游学等管理，做好对外交流风险防控。总结第一轮国际理解教育推进经验，宣传推广成果，启动第二轮国际理解教育推进工作。扩大与“一带一路”国家交流规模，优化友城教育交流机制，与柬埔寨西哈努克省教育行政部门建立合作伙伴关系，深化两地交流合作。提高全市国际友好学校结对比例，培育打造交流合作品牌项目，提升校际交流内涵。引进优质资源，支持职业院校提高专业课程与国际通用职业资格证书对接率。推广中华文化，讲好中国故事，鼓励支持职业院校赴境外开展语言和职业技能培训等，鼓励中小学开设网上孔子课堂。做好涉外教育服务、教师赴境外培训工作。深化与港澳台教育交流。</w:t>
      </w:r>
    </w:p>
    <w:p w14:paraId="19383281">
      <w:pPr>
        <w:spacing w:line="580" w:lineRule="exact"/>
        <w:ind w:firstLine="640" w:firstLineChars="200"/>
        <w:rPr>
          <w:rFonts w:ascii="黑体" w:hAnsi="黑体" w:eastAsia="黑体"/>
          <w:sz w:val="32"/>
          <w:szCs w:val="32"/>
        </w:rPr>
      </w:pPr>
      <w:r>
        <w:rPr>
          <w:rFonts w:hint="eastAsia" w:ascii="黑体" w:hAnsi="黑体" w:eastAsia="黑体"/>
          <w:sz w:val="32"/>
          <w:szCs w:val="32"/>
        </w:rPr>
        <w:t>五、提升教育发展保障水平</w:t>
      </w:r>
    </w:p>
    <w:p w14:paraId="7535BB57">
      <w:pPr>
        <w:spacing w:line="580" w:lineRule="exact"/>
        <w:ind w:firstLine="640" w:firstLineChars="200"/>
        <w:rPr>
          <w:rFonts w:ascii="黑体" w:hAnsi="黑体" w:eastAsia="黑体"/>
          <w:sz w:val="32"/>
          <w:szCs w:val="32"/>
          <w:highlight w:val="yellow"/>
        </w:rPr>
      </w:pPr>
      <w:r>
        <w:rPr>
          <w:rFonts w:hint="eastAsia" w:eastAsia="方正楷体_GBK"/>
          <w:sz w:val="32"/>
          <w:szCs w:val="32"/>
        </w:rPr>
        <w:t>16</w:t>
      </w:r>
      <w:r>
        <w:rPr>
          <w:rFonts w:hint="eastAsia" w:ascii="方正楷体_GBK" w:eastAsia="方正楷体_GBK"/>
          <w:sz w:val="32"/>
          <w:szCs w:val="32"/>
        </w:rPr>
        <w:t>．加强教师队伍建设。</w:t>
      </w:r>
      <w:r>
        <w:rPr>
          <w:rFonts w:hint="eastAsia" w:eastAsia="仿宋_GB2312"/>
          <w:sz w:val="32"/>
          <w:szCs w:val="32"/>
        </w:rPr>
        <w:t>研究贯彻实施国家和省《关于加强和改进新时代师德师风建设意见》相关举措，坚持师德为首，开展“四有”好教师团队建设。加快本土师范院校建设，探索建立师范生定向培养机制，做强市教师发展学院，县级教师发展中心100%通过省示范验收，建成80所市级以上教师发展示范基地校。启动新一期教育名家培养工程、优秀青年教师专项培养计划，加强名师工作室、乡村骨干教师培育站等载体建设，深入开展“新时代</w:t>
      </w:r>
      <w:r>
        <w:rPr>
          <w:rFonts w:hint="eastAsia" w:ascii="宋体" w:hAnsi="宋体" w:cs="宋体"/>
          <w:sz w:val="32"/>
          <w:szCs w:val="32"/>
        </w:rPr>
        <w:t>•</w:t>
      </w:r>
      <w:r>
        <w:rPr>
          <w:rFonts w:hint="eastAsia" w:ascii="方正仿宋_GBK" w:hAnsi="方正仿宋_GBK" w:eastAsia="仿宋_GB2312" w:cs="方正仿宋_GBK"/>
          <w:sz w:val="32"/>
          <w:szCs w:val="32"/>
        </w:rPr>
        <w:t>新教师”“新时代</w:t>
      </w:r>
      <w:r>
        <w:rPr>
          <w:rFonts w:hint="eastAsia" w:ascii="宋体" w:hAnsi="宋体" w:cs="宋体"/>
          <w:sz w:val="32"/>
          <w:szCs w:val="32"/>
        </w:rPr>
        <w:t>•</w:t>
      </w:r>
      <w:r>
        <w:rPr>
          <w:rFonts w:hint="eastAsia" w:ascii="方正仿宋_GBK" w:hAnsi="方正仿宋_GBK" w:eastAsia="仿宋_GB2312" w:cs="方正仿宋_GBK"/>
          <w:sz w:val="32"/>
          <w:szCs w:val="32"/>
        </w:rPr>
        <w:t>好教师”等重点培训项目，提升教师培养培训工作的精准度和实效性。推动落实《关于完善义务教育教职工编制保障的若干意见》，全力保障义务教育发展用编需求。制定公办幼儿园规范机构设置和创新人员编制管理意见，探索实行公办幼儿园人员编制备案管理。制定“县管校聘”管理体制改革实施意见，加快理顺政府相关职能部门、教育部门和学校对教师资源配置及管理的职责权限，发</w:t>
      </w:r>
      <w:r>
        <w:rPr>
          <w:rFonts w:hint="eastAsia" w:eastAsia="仿宋_GB2312"/>
          <w:sz w:val="32"/>
          <w:szCs w:val="32"/>
        </w:rPr>
        <w:t>挥教育部门对教师资源统筹配置作用。指导各地完善义务教育学校教师交流轮岗政策，进一步推动交流轮岗工作制度化、精准化、常态化。建立全市中小学教师信息库，研发教师专业发展电子档案袋。贯彻落实国家、省关于减轻中小学教师负担进一步营造教育教学良好环境的意见精神，结合实际制定我市教师减负清单。建立“名师空中课堂”“锡慧在线”等线上教育平台教师服务长效机制，激励与考核并举，鼓励教师更好参与平台建设与服务。全面落实上级要求，切实提高教师待遇。加强宣传引导，健全荣誉制度，通过教师节期间主题活动和名教师、名校长、师德模范人物评选表彰等活动，在全社会营造尊师重教的良好氛围。</w:t>
      </w:r>
    </w:p>
    <w:p w14:paraId="7A65E08B">
      <w:pPr>
        <w:spacing w:line="580" w:lineRule="exact"/>
        <w:ind w:firstLine="640" w:firstLineChars="200"/>
        <w:rPr>
          <w:rFonts w:ascii="黑体" w:hAnsi="黑体" w:eastAsia="黑体"/>
          <w:sz w:val="32"/>
          <w:szCs w:val="32"/>
          <w:highlight w:val="yellow"/>
        </w:rPr>
      </w:pPr>
      <w:r>
        <w:rPr>
          <w:rFonts w:hint="eastAsia" w:eastAsia="方正楷体_GBK"/>
          <w:sz w:val="32"/>
          <w:szCs w:val="32"/>
        </w:rPr>
        <w:t>17</w:t>
      </w:r>
      <w:r>
        <w:rPr>
          <w:rFonts w:hint="eastAsia" w:ascii="方正楷体_GBK" w:eastAsia="方正楷体_GBK"/>
          <w:sz w:val="32"/>
          <w:szCs w:val="32"/>
        </w:rPr>
        <w:t>．提高教育基础保障水平。</w:t>
      </w:r>
      <w:r>
        <w:rPr>
          <w:rFonts w:hint="eastAsia" w:eastAsia="仿宋_GB2312"/>
          <w:sz w:val="32"/>
          <w:szCs w:val="32"/>
        </w:rPr>
        <w:t>按照新标准落实公办学校生均公用经费，</w:t>
      </w:r>
      <w:r>
        <w:rPr>
          <w:rFonts w:eastAsia="仿宋_GB2312"/>
          <w:sz w:val="32"/>
          <w:szCs w:val="32"/>
        </w:rPr>
        <w:t>修订完善《关于无锡市区民办学校奖补资金使用管理办法》，</w:t>
      </w:r>
      <w:r>
        <w:rPr>
          <w:rFonts w:hint="eastAsia" w:eastAsia="仿宋_GB2312"/>
          <w:sz w:val="32"/>
          <w:szCs w:val="32"/>
        </w:rPr>
        <w:t>完善民办学校年度规范办学评价机制，</w:t>
      </w:r>
      <w:r>
        <w:rPr>
          <w:rFonts w:eastAsia="仿宋_GB2312"/>
          <w:sz w:val="32"/>
          <w:szCs w:val="32"/>
        </w:rPr>
        <w:t>健全民办学校规范发展的激励机制</w:t>
      </w:r>
      <w:r>
        <w:rPr>
          <w:rFonts w:hint="eastAsia" w:eastAsia="仿宋_GB2312"/>
          <w:sz w:val="32"/>
          <w:szCs w:val="32"/>
        </w:rPr>
        <w:t>。出台非营利性民办普惠园幼儿园基准办园成本指导意见，推动各地制订扶持普惠民办园奖补实施办法。全面落实国家各项学生资助政策，健全覆盖所有学段的学生资助体系。充分利用学生资助信息系统和阳光扶贫监管系统，完善信息共享机制，充分核实、精准识别，主动帮扶家庭经济困难学生。重点关注建档立卡学生的资助情况，充分发挥学生资助在脱贫攻坚中的重要作用。扎实开展对口支援、对口帮扶、对口协作，做好新疆阿合奇县、霍城县教育对口支援工作，做好青海海东市、陕西延安市教育对口帮扶工作，做好徐州市南北挂钩工作，做好辽宁省盘锦市对口协作工作。认真做好支教教师选派工作。</w:t>
      </w:r>
    </w:p>
    <w:p w14:paraId="534DEF47">
      <w:pPr>
        <w:spacing w:line="580" w:lineRule="exact"/>
        <w:ind w:firstLine="640" w:firstLineChars="200"/>
        <w:rPr>
          <w:rFonts w:ascii="黑体" w:hAnsi="黑体" w:eastAsia="黑体"/>
          <w:sz w:val="32"/>
          <w:szCs w:val="32"/>
          <w:highlight w:val="yellow"/>
        </w:rPr>
      </w:pPr>
      <w:r>
        <w:rPr>
          <w:rFonts w:hint="eastAsia" w:eastAsia="方正楷体_GBK"/>
          <w:sz w:val="32"/>
          <w:szCs w:val="32"/>
        </w:rPr>
        <w:t>18</w:t>
      </w:r>
      <w:r>
        <w:rPr>
          <w:rFonts w:hint="eastAsia" w:ascii="方正楷体_GBK" w:eastAsia="方正楷体_GBK"/>
          <w:sz w:val="32"/>
          <w:szCs w:val="32"/>
        </w:rPr>
        <w:t>．加快教育信息化建设。</w:t>
      </w:r>
      <w:r>
        <w:rPr>
          <w:rFonts w:hint="eastAsia" w:eastAsia="仿宋_GB2312"/>
          <w:sz w:val="32"/>
          <w:szCs w:val="32"/>
        </w:rPr>
        <w:t>深入推进教育信息化2.0计划。加快网络提速升级，实现全市义务教育学校校园网500兆以上宽带接入、高中和职业学校千兆以上宽带接入全覆盖，90%学校建成无线校园，60%学校建成“智慧校园”，新增20所“智慧课堂”学校。落实网络安全主体责任，全面实施学校网络等级保护制度，开展网络安全应急演练，健全市级网络与信息安全保障体系。加快无锡教育数据中心建设，推动学生数据、教师数据、学校数据等教育数据的整合互通，全面支撑义务教育入学报名系统、中小学生综合素质平台系统、学校安全管理平台、学校食堂“阳光运行”智慧监管平台等业务系统的运行。</w:t>
      </w:r>
      <w:bookmarkStart w:id="0" w:name="_Hlk30627418"/>
      <w:r>
        <w:rPr>
          <w:rFonts w:hint="eastAsia" w:eastAsia="仿宋_GB2312"/>
          <w:sz w:val="32"/>
          <w:szCs w:val="32"/>
        </w:rPr>
        <w:t>加快构建互联互通、覆盖全市、共建共享、协同服务的数字教育资源公共服务体系，深入推进“锡慧在线”学习中心建设，整合教育资源，服务全体学生。推进物联网、大数据、人工智能等新一代信息技术在中小学的普及和教育，加快信息技术应用课程建设，开展青少年物联网创客竞赛活动，提升师生信息素养。</w:t>
      </w:r>
    </w:p>
    <w:p w14:paraId="7AFEBDC9">
      <w:pPr>
        <w:spacing w:line="580" w:lineRule="exact"/>
        <w:ind w:firstLine="640" w:firstLineChars="200"/>
        <w:rPr>
          <w:rFonts w:ascii="黑体" w:hAnsi="黑体" w:eastAsia="黑体"/>
          <w:sz w:val="32"/>
          <w:szCs w:val="32"/>
          <w:highlight w:val="yellow"/>
        </w:rPr>
      </w:pPr>
      <w:r>
        <w:rPr>
          <w:rFonts w:hint="eastAsia" w:eastAsia="方正楷体_GBK"/>
          <w:sz w:val="32"/>
          <w:szCs w:val="32"/>
        </w:rPr>
        <w:t>19</w:t>
      </w:r>
      <w:r>
        <w:rPr>
          <w:rFonts w:hint="eastAsia" w:ascii="方正楷体_GBK" w:eastAsia="方正楷体_GBK"/>
          <w:sz w:val="32"/>
          <w:szCs w:val="32"/>
        </w:rPr>
        <w:t>．强化教育督导功能发挥。</w:t>
      </w:r>
      <w:r>
        <w:rPr>
          <w:rFonts w:hint="eastAsia" w:eastAsia="仿宋_GB2312"/>
          <w:sz w:val="32"/>
          <w:szCs w:val="32"/>
        </w:rPr>
        <w:t>贯彻落实《关于深化新时代教育督导体制机制改革的意见》，以优化管理体制、完善运行机制、强化结果运用为突破口，不断提高教育督导质量和水平。统筹做好省对设区市政府履行教育职责考评迎评工作，调整完善对市（县）区政府履行教育职责考评指标，强化教育重点工作目标考核，推动教育发展责任层层传导下移。贯彻教育大会精神，服务教育重点，组织开展学校疫情防控保障落实情况督查、县域学前教育普及普惠督导评估、中小学校体育工作专项督导和幼儿园办园行为督导评估等专项督导督查，推动教育政策和重点工作落地落实。修订完善无锡市幼儿园、小学、初中素质教育综合督导方案和无锡市中等职业学校综合督导方案，按计划对有关学校开展综合督导。扩大综合督导覆盖面，制定出台无锡市民办中小学校综合督导方案，并组织开展综合督导，根据《无锡市青少年宫综合督导方案（试行）》，对无锡市少年宫组织开展试点督导。以每月常规督学工作等活动为抓手，进一步加强责任督学工作，提升学校规范办学水平。加强督导队伍建设，开展督学培训，提升督学专业水平，提高教育督导工作实效。</w:t>
      </w:r>
    </w:p>
    <w:p w14:paraId="52066B74">
      <w:pPr>
        <w:spacing w:line="580" w:lineRule="exact"/>
        <w:ind w:firstLine="640" w:firstLineChars="200"/>
        <w:rPr>
          <w:rFonts w:eastAsia="仿宋_GB2312"/>
          <w:sz w:val="32"/>
          <w:szCs w:val="32"/>
        </w:rPr>
      </w:pPr>
      <w:r>
        <w:rPr>
          <w:rFonts w:hint="eastAsia" w:eastAsia="方正楷体_GBK"/>
          <w:sz w:val="32"/>
          <w:szCs w:val="32"/>
        </w:rPr>
        <w:t>20</w:t>
      </w:r>
      <w:r>
        <w:rPr>
          <w:rFonts w:hint="eastAsia" w:ascii="方正楷体_GBK" w:eastAsia="方正楷体_GBK"/>
          <w:sz w:val="32"/>
          <w:szCs w:val="32"/>
        </w:rPr>
        <w:t>．提升校园安全保障水平。</w:t>
      </w:r>
      <w:bookmarkEnd w:id="0"/>
      <w:r>
        <w:rPr>
          <w:rFonts w:hint="eastAsia" w:eastAsia="仿宋_GB2312"/>
          <w:sz w:val="32"/>
          <w:szCs w:val="32"/>
        </w:rPr>
        <w:t>扎实推进全市教育（校园和校车）安全专项整治，围绕校园和校车安全集中整治的九个方面，对学校安全重点领域、重点场所、重点环节、重点时段，全面排查，对存在的问题切实落实整改措施；研究贯彻中小学幼儿园安全防范建设三年行动计划，探索建立适合我市实际的“护校安园”工程, 切实加强安防系统规范化、标准化建设。探索建立长效机制。推进专项整治与建立长效机制结合。健全相关校园安全制度，完善工作机制，落实管控措施。继续深入开展平安校园示范创建活动，强化典型引领，不断提升校园安全整体水平。纵深推进教育系统扫黑除恶专项斗争，深化“套路贷”专项治理行动，开展校园欺凌专项治理工作。开展全市教育系统危险化学品安全综合治理工作，不断推动在锡高校加强化工生产工艺、化工安全和危险化学品安全管理为特色的学科建设，培养具备安全生产知识和能力的高素质人才。</w:t>
      </w:r>
    </w:p>
    <w:p w14:paraId="6058AF3C">
      <w:pPr>
        <w:spacing w:line="580" w:lineRule="exact"/>
        <w:rPr>
          <w:rFonts w:eastAsia="仿宋_GB2312"/>
          <w:sz w:val="32"/>
          <w:szCs w:val="32"/>
        </w:rPr>
      </w:pPr>
    </w:p>
    <w:p w14:paraId="113A6D72">
      <w:pPr>
        <w:spacing w:line="580" w:lineRule="exact"/>
        <w:rPr>
          <w:rFonts w:eastAsia="仿宋_GB2312"/>
          <w:sz w:val="32"/>
          <w:szCs w:val="32"/>
        </w:rPr>
      </w:pPr>
    </w:p>
    <w:p w14:paraId="4FAE9187">
      <w:pPr>
        <w:spacing w:line="580" w:lineRule="exact"/>
        <w:rPr>
          <w:rFonts w:eastAsia="仿宋_GB2312"/>
          <w:sz w:val="32"/>
          <w:szCs w:val="32"/>
        </w:rPr>
      </w:pPr>
    </w:p>
    <w:p w14:paraId="6631F9AD">
      <w:pPr>
        <w:spacing w:line="580" w:lineRule="exact"/>
        <w:rPr>
          <w:rFonts w:ascii="方正仿宋_GBK" w:hAnsi="Calibri" w:eastAsia="仿宋_GB2312"/>
          <w:sz w:val="32"/>
          <w:szCs w:val="32"/>
        </w:rPr>
      </w:pPr>
    </w:p>
    <w:p w14:paraId="00A0E02C">
      <w:pPr>
        <w:spacing w:line="580" w:lineRule="exact"/>
        <w:rPr>
          <w:rFonts w:ascii="方正仿宋_GBK" w:hAnsi="Calibri" w:eastAsia="仿宋_GB2312"/>
          <w:sz w:val="32"/>
          <w:szCs w:val="32"/>
        </w:rPr>
      </w:pPr>
    </w:p>
    <w:p w14:paraId="0951A047">
      <w:pPr>
        <w:spacing w:line="580" w:lineRule="exact"/>
        <w:rPr>
          <w:rFonts w:ascii="方正仿宋_GBK" w:hAnsi="Calibri" w:eastAsia="仿宋_GB2312"/>
          <w:sz w:val="32"/>
          <w:szCs w:val="32"/>
        </w:rPr>
      </w:pPr>
    </w:p>
    <w:p w14:paraId="5DA07543">
      <w:pPr>
        <w:spacing w:line="580" w:lineRule="exact"/>
        <w:rPr>
          <w:rFonts w:ascii="方正仿宋_GBK" w:hAnsi="Calibri" w:eastAsia="仿宋_GB2312"/>
          <w:sz w:val="32"/>
          <w:szCs w:val="32"/>
        </w:rPr>
      </w:pPr>
    </w:p>
    <w:p w14:paraId="2FBA0A3C">
      <w:pPr>
        <w:spacing w:line="580" w:lineRule="exact"/>
        <w:rPr>
          <w:rFonts w:ascii="方正仿宋_GBK" w:hAnsi="Calibri" w:eastAsia="仿宋_GB2312"/>
          <w:sz w:val="32"/>
          <w:szCs w:val="32"/>
        </w:rPr>
      </w:pPr>
    </w:p>
    <w:p w14:paraId="13EC5FFC">
      <w:pPr>
        <w:spacing w:line="580" w:lineRule="exact"/>
        <w:rPr>
          <w:rFonts w:ascii="方正仿宋_GBK" w:hAnsi="Calibri" w:eastAsia="仿宋_GB2312"/>
          <w:sz w:val="32"/>
          <w:szCs w:val="32"/>
        </w:rPr>
      </w:pPr>
    </w:p>
    <w:p w14:paraId="41077FB8">
      <w:pPr>
        <w:spacing w:line="580" w:lineRule="exact"/>
        <w:rPr>
          <w:rFonts w:ascii="方正仿宋_GBK" w:hAnsi="Calibri" w:eastAsia="仿宋_GB2312"/>
          <w:sz w:val="32"/>
          <w:szCs w:val="32"/>
        </w:rPr>
      </w:pPr>
    </w:p>
    <w:p w14:paraId="304139F6">
      <w:pPr>
        <w:spacing w:line="580" w:lineRule="exact"/>
        <w:rPr>
          <w:rFonts w:ascii="方正仿宋_GBK" w:hAnsi="Calibri" w:eastAsia="仿宋_GB2312"/>
          <w:sz w:val="32"/>
          <w:szCs w:val="32"/>
        </w:rPr>
      </w:pPr>
    </w:p>
    <w:p w14:paraId="3D62F99F">
      <w:pPr>
        <w:spacing w:line="580" w:lineRule="exact"/>
        <w:rPr>
          <w:rFonts w:ascii="方正仿宋_GBK" w:hAnsi="Calibri" w:eastAsia="仿宋_GB2312"/>
          <w:sz w:val="32"/>
          <w:szCs w:val="32"/>
        </w:rPr>
      </w:pPr>
    </w:p>
    <w:p w14:paraId="592F36EE">
      <w:pPr>
        <w:spacing w:line="580" w:lineRule="exact"/>
        <w:rPr>
          <w:rFonts w:ascii="方正仿宋_GBK" w:hAnsi="Calibri" w:eastAsia="仿宋_GB2312"/>
          <w:sz w:val="32"/>
          <w:szCs w:val="32"/>
        </w:rPr>
      </w:pPr>
    </w:p>
    <w:p w14:paraId="2CA388F8">
      <w:pPr>
        <w:spacing w:line="580" w:lineRule="exact"/>
        <w:rPr>
          <w:rFonts w:ascii="方正仿宋_GBK" w:hAnsi="Calibri" w:eastAsia="仿宋_GB2312"/>
          <w:sz w:val="32"/>
          <w:szCs w:val="32"/>
        </w:rPr>
      </w:pPr>
    </w:p>
    <w:p w14:paraId="32EF6DF7">
      <w:pPr>
        <w:spacing w:line="580" w:lineRule="exact"/>
        <w:rPr>
          <w:rFonts w:ascii="方正仿宋_GBK" w:hAnsi="Calibri" w:eastAsia="仿宋_GB2312"/>
          <w:sz w:val="32"/>
          <w:szCs w:val="32"/>
        </w:rPr>
      </w:pPr>
    </w:p>
    <w:p w14:paraId="66486BAB">
      <w:pPr>
        <w:spacing w:line="580" w:lineRule="exact"/>
        <w:rPr>
          <w:rFonts w:ascii="方正仿宋_GBK" w:hAnsi="Calibri" w:eastAsia="仿宋_GB2312"/>
          <w:sz w:val="32"/>
          <w:szCs w:val="32"/>
        </w:rPr>
      </w:pPr>
    </w:p>
    <w:p w14:paraId="455564BF">
      <w:pPr>
        <w:spacing w:line="580" w:lineRule="exact"/>
        <w:rPr>
          <w:rFonts w:ascii="方正仿宋_GBK" w:hAnsi="Calibri" w:eastAsia="仿宋_GB2312"/>
          <w:sz w:val="32"/>
          <w:szCs w:val="32"/>
        </w:rPr>
      </w:pPr>
    </w:p>
    <w:p w14:paraId="280183C5">
      <w:pPr>
        <w:spacing w:line="580" w:lineRule="exact"/>
        <w:rPr>
          <w:rFonts w:ascii="方正仿宋_GBK" w:hAnsi="Calibri" w:eastAsia="仿宋_GB2312"/>
          <w:sz w:val="32"/>
          <w:szCs w:val="32"/>
        </w:rPr>
      </w:pPr>
    </w:p>
    <w:p w14:paraId="777EC495">
      <w:pPr>
        <w:spacing w:line="580" w:lineRule="exact"/>
        <w:rPr>
          <w:rFonts w:ascii="方正仿宋_GBK" w:hAnsi="Calibri" w:eastAsia="仿宋_GB2312"/>
          <w:sz w:val="32"/>
          <w:szCs w:val="32"/>
        </w:rPr>
      </w:pPr>
    </w:p>
    <w:p w14:paraId="70631648">
      <w:pPr>
        <w:spacing w:line="580" w:lineRule="exact"/>
        <w:rPr>
          <w:rFonts w:ascii="方正仿宋_GBK" w:hAnsi="Calibri" w:eastAsia="仿宋_GB2312"/>
          <w:sz w:val="32"/>
          <w:szCs w:val="32"/>
        </w:rPr>
      </w:pPr>
    </w:p>
    <w:p w14:paraId="5A4727D8">
      <w:pPr>
        <w:spacing w:line="580" w:lineRule="exact"/>
        <w:rPr>
          <w:rFonts w:ascii="方正仿宋_GBK" w:hAnsi="Calibri" w:eastAsia="仿宋_GB2312"/>
          <w:sz w:val="32"/>
          <w:szCs w:val="32"/>
        </w:rPr>
      </w:pPr>
    </w:p>
    <w:p w14:paraId="13A0CD1C">
      <w:pPr>
        <w:spacing w:line="580" w:lineRule="exact"/>
        <w:rPr>
          <w:rFonts w:ascii="方正仿宋_GBK" w:hAnsi="Calibri" w:eastAsia="仿宋_GB2312"/>
          <w:sz w:val="32"/>
          <w:szCs w:val="32"/>
        </w:rPr>
      </w:pPr>
    </w:p>
    <w:p w14:paraId="2D07C0AD">
      <w:pPr>
        <w:spacing w:line="580" w:lineRule="exact"/>
        <w:rPr>
          <w:rFonts w:ascii="方正仿宋_GBK" w:hAnsi="Calibri" w:eastAsia="仿宋_GB2312"/>
          <w:sz w:val="32"/>
          <w:szCs w:val="32"/>
        </w:rPr>
      </w:pPr>
    </w:p>
    <w:p w14:paraId="70D77706">
      <w:pPr>
        <w:spacing w:line="580" w:lineRule="exact"/>
        <w:rPr>
          <w:rFonts w:ascii="方正仿宋_GBK" w:hAnsi="Calibri" w:eastAsia="仿宋_GB2312"/>
          <w:sz w:val="32"/>
          <w:szCs w:val="32"/>
        </w:rPr>
      </w:pPr>
    </w:p>
    <w:p w14:paraId="7E2A3EE6">
      <w:pPr>
        <w:spacing w:line="580" w:lineRule="exact"/>
        <w:rPr>
          <w:rFonts w:ascii="方正仿宋_GBK" w:hAnsi="Calibri" w:eastAsia="仿宋_GB2312"/>
          <w:sz w:val="32"/>
          <w:szCs w:val="32"/>
        </w:rPr>
      </w:pPr>
    </w:p>
    <w:p w14:paraId="3FF98E73">
      <w:pPr>
        <w:spacing w:line="580" w:lineRule="exact"/>
        <w:rPr>
          <w:rFonts w:ascii="方正仿宋_GBK" w:hAnsi="Calibri" w:eastAsia="仿宋_GB2312"/>
          <w:sz w:val="32"/>
          <w:szCs w:val="32"/>
        </w:rPr>
      </w:pPr>
    </w:p>
    <w:p w14:paraId="398AD464">
      <w:pPr>
        <w:spacing w:line="580" w:lineRule="exact"/>
        <w:ind w:firstLine="640" w:firstLineChars="200"/>
        <w:rPr>
          <w:rFonts w:ascii="方正仿宋_GBK" w:hAnsi="Calibri" w:eastAsia="仿宋_GB231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14:paraId="48A9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left w:val="nil"/>
              <w:right w:val="nil"/>
            </w:tcBorders>
          </w:tcPr>
          <w:p w14:paraId="6F8C52D9">
            <w:pPr>
              <w:spacing w:line="580" w:lineRule="exact"/>
              <w:ind w:left="840" w:hanging="840" w:hangingChars="300"/>
              <w:jc w:val="left"/>
              <w:rPr>
                <w:rFonts w:ascii="仿宋_GB2312" w:hAnsi="Calibri" w:eastAsia="仿宋_GB2312"/>
                <w:sz w:val="28"/>
                <w:szCs w:val="28"/>
              </w:rPr>
            </w:pPr>
            <w:r>
              <w:rPr>
                <w:rFonts w:hint="eastAsia" w:ascii="仿宋_GB2312" w:hAnsi="Calibri" w:eastAsia="仿宋_GB2312"/>
                <w:sz w:val="28"/>
                <w:szCs w:val="28"/>
              </w:rPr>
              <w:t>抄送</w:t>
            </w:r>
            <w:r>
              <w:rPr>
                <w:rFonts w:ascii="仿宋_GB2312" w:hAnsi="Calibri" w:eastAsia="仿宋_GB2312"/>
                <w:sz w:val="28"/>
                <w:szCs w:val="28"/>
              </w:rPr>
              <w:t>：</w:t>
            </w:r>
            <w:r>
              <w:rPr>
                <w:rFonts w:hint="eastAsia" w:ascii="仿宋_GB2312" w:hAnsi="Calibri" w:eastAsia="仿宋_GB2312"/>
                <w:sz w:val="28"/>
                <w:szCs w:val="28"/>
              </w:rPr>
              <w:t>省教育厅，市委办公室，</w:t>
            </w:r>
            <w:r>
              <w:rPr>
                <w:rFonts w:ascii="仿宋_GB2312" w:hAnsi="Calibri" w:eastAsia="仿宋_GB2312"/>
                <w:sz w:val="28"/>
                <w:szCs w:val="28"/>
              </w:rPr>
              <w:t>市人大办公室</w:t>
            </w:r>
            <w:r>
              <w:rPr>
                <w:rFonts w:hint="eastAsia" w:ascii="仿宋_GB2312" w:hAnsi="Calibri" w:eastAsia="仿宋_GB2312"/>
                <w:sz w:val="28"/>
                <w:szCs w:val="28"/>
              </w:rPr>
              <w:t>，</w:t>
            </w:r>
            <w:r>
              <w:rPr>
                <w:rFonts w:ascii="仿宋_GB2312" w:hAnsi="Calibri" w:eastAsia="仿宋_GB2312"/>
                <w:sz w:val="28"/>
                <w:szCs w:val="28"/>
              </w:rPr>
              <w:t>市政府办公室</w:t>
            </w:r>
            <w:r>
              <w:rPr>
                <w:rFonts w:hint="eastAsia" w:ascii="仿宋_GB2312" w:hAnsi="Calibri" w:eastAsia="仿宋_GB2312"/>
                <w:sz w:val="28"/>
                <w:szCs w:val="28"/>
              </w:rPr>
              <w:t>，</w:t>
            </w:r>
            <w:r>
              <w:rPr>
                <w:rFonts w:ascii="仿宋_GB2312" w:hAnsi="Calibri" w:eastAsia="仿宋_GB2312"/>
                <w:sz w:val="28"/>
                <w:szCs w:val="28"/>
              </w:rPr>
              <w:t>市政协办公室</w:t>
            </w:r>
            <w:r>
              <w:rPr>
                <w:rFonts w:hint="eastAsia" w:ascii="仿宋_GB2312" w:hAnsi="Calibri" w:eastAsia="仿宋_GB2312"/>
                <w:sz w:val="28"/>
                <w:szCs w:val="28"/>
              </w:rPr>
              <w:t>。</w:t>
            </w:r>
          </w:p>
        </w:tc>
      </w:tr>
      <w:tr w14:paraId="406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left w:val="nil"/>
              <w:right w:val="nil"/>
            </w:tcBorders>
          </w:tcPr>
          <w:p w14:paraId="1F6CED8C">
            <w:pPr>
              <w:spacing w:line="580" w:lineRule="exact"/>
              <w:jc w:val="left"/>
              <w:rPr>
                <w:rFonts w:ascii="仿宋_GB2312" w:hAnsi="Calibri" w:eastAsia="仿宋_GB2312"/>
                <w:sz w:val="28"/>
                <w:szCs w:val="28"/>
              </w:rPr>
            </w:pPr>
            <w:r>
              <w:rPr>
                <w:rFonts w:hint="eastAsia" w:ascii="仿宋_GB2312" w:hAnsi="Calibri" w:eastAsia="仿宋_GB2312"/>
                <w:sz w:val="28"/>
                <w:szCs w:val="28"/>
              </w:rPr>
              <w:t xml:space="preserve">无锡市教育局办公室             </w:t>
            </w:r>
            <w:r>
              <w:rPr>
                <w:rFonts w:ascii="仿宋_GB2312" w:hAnsi="Calibri" w:eastAsia="仿宋_GB2312"/>
                <w:sz w:val="28"/>
                <w:szCs w:val="28"/>
              </w:rPr>
              <w:t xml:space="preserve">           </w:t>
            </w:r>
            <w:r>
              <w:rPr>
                <w:rFonts w:hint="eastAsia" w:eastAsia="仿宋_GB2312"/>
                <w:sz w:val="28"/>
                <w:szCs w:val="28"/>
              </w:rPr>
              <w:t>2020</w:t>
            </w:r>
            <w:r>
              <w:rPr>
                <w:rFonts w:hint="eastAsia" w:ascii="仿宋_GB2312" w:hAnsi="Calibri" w:eastAsia="仿宋_GB2312"/>
                <w:sz w:val="28"/>
                <w:szCs w:val="28"/>
              </w:rPr>
              <w:t>年</w:t>
            </w:r>
            <w:r>
              <w:rPr>
                <w:rFonts w:hint="eastAsia" w:eastAsia="仿宋_GB2312"/>
                <w:sz w:val="28"/>
                <w:szCs w:val="28"/>
              </w:rPr>
              <w:t>4</w:t>
            </w:r>
            <w:r>
              <w:rPr>
                <w:rFonts w:hint="eastAsia" w:ascii="仿宋_GB2312" w:hAnsi="Calibri" w:eastAsia="仿宋_GB2312"/>
                <w:sz w:val="28"/>
                <w:szCs w:val="28"/>
              </w:rPr>
              <w:t>月</w:t>
            </w:r>
            <w:r>
              <w:rPr>
                <w:rFonts w:eastAsia="仿宋_GB2312"/>
                <w:sz w:val="28"/>
                <w:szCs w:val="28"/>
              </w:rPr>
              <w:t>8</w:t>
            </w:r>
            <w:r>
              <w:rPr>
                <w:rFonts w:hint="eastAsia" w:ascii="仿宋_GB2312" w:hAnsi="Calibri" w:eastAsia="仿宋_GB2312"/>
                <w:sz w:val="28"/>
                <w:szCs w:val="28"/>
              </w:rPr>
              <w:t>日印发</w:t>
            </w:r>
          </w:p>
        </w:tc>
      </w:tr>
    </w:tbl>
    <w:p w14:paraId="450B3431">
      <w:pPr>
        <w:spacing w:line="20" w:lineRule="exact"/>
        <w:rPr>
          <w:rFonts w:eastAsia="仿宋_GB2312"/>
          <w:sz w:val="32"/>
          <w:szCs w:val="32"/>
        </w:rPr>
      </w:pPr>
    </w:p>
    <w:sectPr>
      <w:footerReference r:id="rId3" w:type="default"/>
      <w:footerReference r:id="rId4" w:type="even"/>
      <w:pgSz w:w="11906" w:h="16838"/>
      <w:pgMar w:top="1985"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600633"/>
      <w:docPartObj>
        <w:docPartGallery w:val="autotext"/>
      </w:docPartObj>
    </w:sdtPr>
    <w:sdtEndPr>
      <w:rPr>
        <w:rFonts w:hint="eastAsia" w:ascii="仿宋_GB2312" w:eastAsia="仿宋_GB2312"/>
        <w:sz w:val="28"/>
        <w:szCs w:val="28"/>
      </w:rPr>
    </w:sdtEndPr>
    <w:sdtContent>
      <w:p w14:paraId="28EEA07C">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652104"/>
      <w:docPartObj>
        <w:docPartGallery w:val="autotext"/>
      </w:docPartObj>
    </w:sdtPr>
    <w:sdtEndPr>
      <w:rPr>
        <w:rFonts w:hint="eastAsia" w:ascii="仿宋_GB2312" w:eastAsia="仿宋_GB2312"/>
        <w:sz w:val="28"/>
        <w:szCs w:val="28"/>
      </w:rPr>
    </w:sdtEndPr>
    <w:sdtContent>
      <w:p w14:paraId="517D5C09">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YzA3ZDViMTBhODZhODI1YzU4ODNmNjM3NTU0NWMifQ=="/>
  </w:docVars>
  <w:rsids>
    <w:rsidRoot w:val="004F2521"/>
    <w:rsid w:val="00011FE5"/>
    <w:rsid w:val="00017022"/>
    <w:rsid w:val="00030666"/>
    <w:rsid w:val="0004040B"/>
    <w:rsid w:val="00045C05"/>
    <w:rsid w:val="000600F0"/>
    <w:rsid w:val="00065128"/>
    <w:rsid w:val="000662A8"/>
    <w:rsid w:val="00081941"/>
    <w:rsid w:val="00082797"/>
    <w:rsid w:val="00083119"/>
    <w:rsid w:val="00087BE4"/>
    <w:rsid w:val="00095821"/>
    <w:rsid w:val="00097042"/>
    <w:rsid w:val="000A04DA"/>
    <w:rsid w:val="000A0BB6"/>
    <w:rsid w:val="000B1457"/>
    <w:rsid w:val="000C1DF1"/>
    <w:rsid w:val="000C554B"/>
    <w:rsid w:val="000C75BE"/>
    <w:rsid w:val="000D6270"/>
    <w:rsid w:val="00107DEE"/>
    <w:rsid w:val="00110D3D"/>
    <w:rsid w:val="00117E9E"/>
    <w:rsid w:val="00124852"/>
    <w:rsid w:val="001270F9"/>
    <w:rsid w:val="00130349"/>
    <w:rsid w:val="001312B8"/>
    <w:rsid w:val="0013393D"/>
    <w:rsid w:val="00160563"/>
    <w:rsid w:val="0016232A"/>
    <w:rsid w:val="001646B3"/>
    <w:rsid w:val="00171AEA"/>
    <w:rsid w:val="00171FC0"/>
    <w:rsid w:val="001A2DEA"/>
    <w:rsid w:val="001B598B"/>
    <w:rsid w:val="001E32FB"/>
    <w:rsid w:val="001E7E93"/>
    <w:rsid w:val="001F1A36"/>
    <w:rsid w:val="001F5681"/>
    <w:rsid w:val="00207BBD"/>
    <w:rsid w:val="0021201A"/>
    <w:rsid w:val="00214808"/>
    <w:rsid w:val="0022601D"/>
    <w:rsid w:val="00233EA7"/>
    <w:rsid w:val="00234880"/>
    <w:rsid w:val="00236CFC"/>
    <w:rsid w:val="0025712D"/>
    <w:rsid w:val="00257C47"/>
    <w:rsid w:val="002635AD"/>
    <w:rsid w:val="0029090F"/>
    <w:rsid w:val="0029506C"/>
    <w:rsid w:val="002B641E"/>
    <w:rsid w:val="002B6E78"/>
    <w:rsid w:val="002C458F"/>
    <w:rsid w:val="002D12F0"/>
    <w:rsid w:val="002D3F28"/>
    <w:rsid w:val="002E01A2"/>
    <w:rsid w:val="002F2CDF"/>
    <w:rsid w:val="003067E2"/>
    <w:rsid w:val="003213D3"/>
    <w:rsid w:val="0035326D"/>
    <w:rsid w:val="00356465"/>
    <w:rsid w:val="00363F05"/>
    <w:rsid w:val="003643A5"/>
    <w:rsid w:val="00364B77"/>
    <w:rsid w:val="003754E1"/>
    <w:rsid w:val="00376986"/>
    <w:rsid w:val="003827E3"/>
    <w:rsid w:val="003857F2"/>
    <w:rsid w:val="00392371"/>
    <w:rsid w:val="00393244"/>
    <w:rsid w:val="00393AD2"/>
    <w:rsid w:val="0039572C"/>
    <w:rsid w:val="003A6011"/>
    <w:rsid w:val="003B53DE"/>
    <w:rsid w:val="003B6406"/>
    <w:rsid w:val="003D2DC0"/>
    <w:rsid w:val="003D7EB8"/>
    <w:rsid w:val="003E4683"/>
    <w:rsid w:val="003F52D0"/>
    <w:rsid w:val="00402E99"/>
    <w:rsid w:val="00403F7C"/>
    <w:rsid w:val="0041141C"/>
    <w:rsid w:val="00412766"/>
    <w:rsid w:val="004154F8"/>
    <w:rsid w:val="004264C0"/>
    <w:rsid w:val="00443516"/>
    <w:rsid w:val="00455AE2"/>
    <w:rsid w:val="004611F6"/>
    <w:rsid w:val="00462C4C"/>
    <w:rsid w:val="00472EC2"/>
    <w:rsid w:val="004734BA"/>
    <w:rsid w:val="0048646F"/>
    <w:rsid w:val="00486899"/>
    <w:rsid w:val="004931C2"/>
    <w:rsid w:val="0049788E"/>
    <w:rsid w:val="004A07C5"/>
    <w:rsid w:val="004A7CDB"/>
    <w:rsid w:val="004B253D"/>
    <w:rsid w:val="004C0577"/>
    <w:rsid w:val="004D2650"/>
    <w:rsid w:val="004D4F16"/>
    <w:rsid w:val="004E5E5B"/>
    <w:rsid w:val="004F2521"/>
    <w:rsid w:val="004F33CD"/>
    <w:rsid w:val="00503CD3"/>
    <w:rsid w:val="005057F6"/>
    <w:rsid w:val="00506477"/>
    <w:rsid w:val="00511605"/>
    <w:rsid w:val="00511FDF"/>
    <w:rsid w:val="005162FD"/>
    <w:rsid w:val="005359DD"/>
    <w:rsid w:val="00543675"/>
    <w:rsid w:val="00571AE5"/>
    <w:rsid w:val="005764F4"/>
    <w:rsid w:val="0058135B"/>
    <w:rsid w:val="00583209"/>
    <w:rsid w:val="0058339D"/>
    <w:rsid w:val="00585DFE"/>
    <w:rsid w:val="005937BA"/>
    <w:rsid w:val="0059469E"/>
    <w:rsid w:val="005B2AB6"/>
    <w:rsid w:val="005B5BF7"/>
    <w:rsid w:val="005B7830"/>
    <w:rsid w:val="005B7F3F"/>
    <w:rsid w:val="005C3AAE"/>
    <w:rsid w:val="005C77E4"/>
    <w:rsid w:val="005D79B9"/>
    <w:rsid w:val="005F3149"/>
    <w:rsid w:val="005F55E2"/>
    <w:rsid w:val="006078CC"/>
    <w:rsid w:val="00624FDD"/>
    <w:rsid w:val="00633326"/>
    <w:rsid w:val="006376F0"/>
    <w:rsid w:val="00640BBE"/>
    <w:rsid w:val="00663317"/>
    <w:rsid w:val="00671DA5"/>
    <w:rsid w:val="006915BB"/>
    <w:rsid w:val="006948B7"/>
    <w:rsid w:val="006A4134"/>
    <w:rsid w:val="006B135A"/>
    <w:rsid w:val="006C21DD"/>
    <w:rsid w:val="006E507E"/>
    <w:rsid w:val="006F2B12"/>
    <w:rsid w:val="007002BF"/>
    <w:rsid w:val="00705109"/>
    <w:rsid w:val="0072337B"/>
    <w:rsid w:val="007257BB"/>
    <w:rsid w:val="00726BDB"/>
    <w:rsid w:val="00732B95"/>
    <w:rsid w:val="00752B3D"/>
    <w:rsid w:val="007704A8"/>
    <w:rsid w:val="00771A9C"/>
    <w:rsid w:val="0077491C"/>
    <w:rsid w:val="007900AB"/>
    <w:rsid w:val="0079300F"/>
    <w:rsid w:val="007A0DD2"/>
    <w:rsid w:val="007A3D71"/>
    <w:rsid w:val="007B256F"/>
    <w:rsid w:val="007B6321"/>
    <w:rsid w:val="007C6DEB"/>
    <w:rsid w:val="007F1646"/>
    <w:rsid w:val="007F5D95"/>
    <w:rsid w:val="00806682"/>
    <w:rsid w:val="00807F64"/>
    <w:rsid w:val="00813875"/>
    <w:rsid w:val="00824837"/>
    <w:rsid w:val="00830097"/>
    <w:rsid w:val="00830641"/>
    <w:rsid w:val="00843C49"/>
    <w:rsid w:val="008445A2"/>
    <w:rsid w:val="00851A2E"/>
    <w:rsid w:val="00863F67"/>
    <w:rsid w:val="00866900"/>
    <w:rsid w:val="008726C3"/>
    <w:rsid w:val="008763C2"/>
    <w:rsid w:val="00876C49"/>
    <w:rsid w:val="008A59F0"/>
    <w:rsid w:val="008B6CDC"/>
    <w:rsid w:val="008C562D"/>
    <w:rsid w:val="008D1E04"/>
    <w:rsid w:val="008D36BD"/>
    <w:rsid w:val="008D6077"/>
    <w:rsid w:val="008F245B"/>
    <w:rsid w:val="008F4173"/>
    <w:rsid w:val="00904DD6"/>
    <w:rsid w:val="00905C30"/>
    <w:rsid w:val="00915846"/>
    <w:rsid w:val="009212D6"/>
    <w:rsid w:val="009248EA"/>
    <w:rsid w:val="0092601D"/>
    <w:rsid w:val="00932C11"/>
    <w:rsid w:val="00935FD5"/>
    <w:rsid w:val="009423BA"/>
    <w:rsid w:val="009618C2"/>
    <w:rsid w:val="00962262"/>
    <w:rsid w:val="009674EB"/>
    <w:rsid w:val="009750A9"/>
    <w:rsid w:val="00977A74"/>
    <w:rsid w:val="00983E37"/>
    <w:rsid w:val="009A09A8"/>
    <w:rsid w:val="009A0DFB"/>
    <w:rsid w:val="009B6E55"/>
    <w:rsid w:val="009D00A1"/>
    <w:rsid w:val="009E24FA"/>
    <w:rsid w:val="009E276F"/>
    <w:rsid w:val="009E3047"/>
    <w:rsid w:val="009E513E"/>
    <w:rsid w:val="00A0124C"/>
    <w:rsid w:val="00A32AE7"/>
    <w:rsid w:val="00A33F7E"/>
    <w:rsid w:val="00A37220"/>
    <w:rsid w:val="00A43F50"/>
    <w:rsid w:val="00A54B41"/>
    <w:rsid w:val="00A564F2"/>
    <w:rsid w:val="00A57682"/>
    <w:rsid w:val="00A57B66"/>
    <w:rsid w:val="00A90F94"/>
    <w:rsid w:val="00A96129"/>
    <w:rsid w:val="00AA4C6C"/>
    <w:rsid w:val="00AA70E5"/>
    <w:rsid w:val="00AB13EA"/>
    <w:rsid w:val="00AB24E3"/>
    <w:rsid w:val="00AB6E05"/>
    <w:rsid w:val="00AD6D2B"/>
    <w:rsid w:val="00AD729E"/>
    <w:rsid w:val="00AE18FD"/>
    <w:rsid w:val="00AE2EBF"/>
    <w:rsid w:val="00B03637"/>
    <w:rsid w:val="00B2377E"/>
    <w:rsid w:val="00B239E3"/>
    <w:rsid w:val="00B4254F"/>
    <w:rsid w:val="00B44E5B"/>
    <w:rsid w:val="00B52B5C"/>
    <w:rsid w:val="00B74DAD"/>
    <w:rsid w:val="00B76AB9"/>
    <w:rsid w:val="00B80238"/>
    <w:rsid w:val="00B8066B"/>
    <w:rsid w:val="00B81BF5"/>
    <w:rsid w:val="00B82772"/>
    <w:rsid w:val="00B92012"/>
    <w:rsid w:val="00B94978"/>
    <w:rsid w:val="00B96EB7"/>
    <w:rsid w:val="00B972FF"/>
    <w:rsid w:val="00BA1A4C"/>
    <w:rsid w:val="00BA7C0A"/>
    <w:rsid w:val="00BB4DED"/>
    <w:rsid w:val="00BC4205"/>
    <w:rsid w:val="00BD319E"/>
    <w:rsid w:val="00BD63B4"/>
    <w:rsid w:val="00BE0E8B"/>
    <w:rsid w:val="00BE2F0C"/>
    <w:rsid w:val="00BE70A4"/>
    <w:rsid w:val="00BE7694"/>
    <w:rsid w:val="00BF019C"/>
    <w:rsid w:val="00BF27B5"/>
    <w:rsid w:val="00BF6110"/>
    <w:rsid w:val="00C14F72"/>
    <w:rsid w:val="00C17AC5"/>
    <w:rsid w:val="00C20260"/>
    <w:rsid w:val="00C304A8"/>
    <w:rsid w:val="00C443F9"/>
    <w:rsid w:val="00C6368D"/>
    <w:rsid w:val="00C67C9B"/>
    <w:rsid w:val="00C73321"/>
    <w:rsid w:val="00C771DA"/>
    <w:rsid w:val="00C86579"/>
    <w:rsid w:val="00CA6070"/>
    <w:rsid w:val="00CA7CE9"/>
    <w:rsid w:val="00CB0230"/>
    <w:rsid w:val="00CB58F9"/>
    <w:rsid w:val="00CC3506"/>
    <w:rsid w:val="00CE2F4E"/>
    <w:rsid w:val="00CF4D0B"/>
    <w:rsid w:val="00D0409A"/>
    <w:rsid w:val="00D058BF"/>
    <w:rsid w:val="00D219F6"/>
    <w:rsid w:val="00D228C1"/>
    <w:rsid w:val="00D2642B"/>
    <w:rsid w:val="00D33959"/>
    <w:rsid w:val="00D36971"/>
    <w:rsid w:val="00D376DB"/>
    <w:rsid w:val="00D43D6D"/>
    <w:rsid w:val="00D47B5D"/>
    <w:rsid w:val="00D53EEA"/>
    <w:rsid w:val="00D572ED"/>
    <w:rsid w:val="00D6184D"/>
    <w:rsid w:val="00D724F1"/>
    <w:rsid w:val="00D72AED"/>
    <w:rsid w:val="00D81805"/>
    <w:rsid w:val="00D90DEE"/>
    <w:rsid w:val="00D925DC"/>
    <w:rsid w:val="00D97219"/>
    <w:rsid w:val="00DA3B7F"/>
    <w:rsid w:val="00DA55DE"/>
    <w:rsid w:val="00DE7057"/>
    <w:rsid w:val="00DE794E"/>
    <w:rsid w:val="00DF4A7B"/>
    <w:rsid w:val="00DF6706"/>
    <w:rsid w:val="00E0370D"/>
    <w:rsid w:val="00E04440"/>
    <w:rsid w:val="00E23C8B"/>
    <w:rsid w:val="00E243A8"/>
    <w:rsid w:val="00E3578F"/>
    <w:rsid w:val="00E47772"/>
    <w:rsid w:val="00E67DBB"/>
    <w:rsid w:val="00E83CBF"/>
    <w:rsid w:val="00EA7771"/>
    <w:rsid w:val="00EB04A5"/>
    <w:rsid w:val="00EB72E0"/>
    <w:rsid w:val="00EC4E5B"/>
    <w:rsid w:val="00ED6DC5"/>
    <w:rsid w:val="00EE32E9"/>
    <w:rsid w:val="00EF4510"/>
    <w:rsid w:val="00F10694"/>
    <w:rsid w:val="00F15362"/>
    <w:rsid w:val="00F17758"/>
    <w:rsid w:val="00F17CBB"/>
    <w:rsid w:val="00F33401"/>
    <w:rsid w:val="00F35DE6"/>
    <w:rsid w:val="00F43AF3"/>
    <w:rsid w:val="00F44D67"/>
    <w:rsid w:val="00F514C2"/>
    <w:rsid w:val="00F66741"/>
    <w:rsid w:val="00F66C0E"/>
    <w:rsid w:val="00F81A50"/>
    <w:rsid w:val="00F92AAD"/>
    <w:rsid w:val="00FA0487"/>
    <w:rsid w:val="00FA2CDB"/>
    <w:rsid w:val="00FB37F9"/>
    <w:rsid w:val="00FF4330"/>
    <w:rsid w:val="13D66556"/>
    <w:rsid w:val="2CC87FEA"/>
    <w:rsid w:val="2EA40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936D-A503-4B46-AB69-F7061573DF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9399</Words>
  <Characters>9470</Characters>
  <Lines>68</Lines>
  <Paragraphs>19</Paragraphs>
  <TotalTime>1331</TotalTime>
  <ScaleCrop>false</ScaleCrop>
  <LinksUpToDate>false</LinksUpToDate>
  <CharactersWithSpaces>9501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2020-01-23T00:35:00Z</dcterms:created>
  <dc:creator>user</dc:creator>
  <cp:lastModifiedBy>一叽小茴猪</cp:lastModifiedBy>
  <cp:lastPrinted>2020-04-09T02:19:00Z</cp:lastPrinted>
  <dcterms:modified xsi:type="dcterms:W3CDTF">2024-09-30T08:53:54Z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8F6917EAA78A47199A92358F6AE34A42_13</vt:lpwstr>
  </property>
</Properties>
</file>